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rzecznik@plk-sa.pl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56228" w:rsidRDefault="00156228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74DE5" w:rsidRPr="003F74F3" w:rsidRDefault="00585B4B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Kraków, 14</w:t>
      </w:r>
      <w:r w:rsidR="003F7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maja </w:t>
      </w:r>
      <w:r w:rsidR="00174DE5" w:rsidRPr="003F74F3">
        <w:rPr>
          <w:rFonts w:ascii="Arial" w:hAnsi="Arial" w:cs="Arial"/>
          <w:sz w:val="22"/>
          <w:szCs w:val="22"/>
        </w:rPr>
        <w:t xml:space="preserve">2018 r. </w:t>
      </w:r>
    </w:p>
    <w:p w:rsidR="00174DE5" w:rsidRPr="00850BA6" w:rsidRDefault="00174DE5" w:rsidP="00174D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50BA6">
        <w:rPr>
          <w:rFonts w:ascii="Arial" w:hAnsi="Arial" w:cs="Arial"/>
          <w:b/>
          <w:sz w:val="22"/>
          <w:szCs w:val="22"/>
        </w:rPr>
        <w:t>Informacja prasowa</w:t>
      </w:r>
    </w:p>
    <w:p w:rsidR="00174DE5" w:rsidRDefault="00585B4B" w:rsidP="00174DE5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Rusza ostatni etap modernizacji </w:t>
      </w:r>
      <w:r w:rsidR="000809FC">
        <w:rPr>
          <w:rFonts w:ascii="Arial" w:hAnsi="Arial" w:cs="Arial"/>
          <w:b/>
          <w:bCs/>
          <w:sz w:val="22"/>
          <w:szCs w:val="22"/>
        </w:rPr>
        <w:t>trzech</w:t>
      </w:r>
      <w:r w:rsidR="00993FB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wiaduktów na północy Krakowa</w:t>
      </w:r>
    </w:p>
    <w:bookmarkEnd w:id="0"/>
    <w:p w:rsidR="00850BA6" w:rsidRPr="003F74F3" w:rsidRDefault="00850BA6" w:rsidP="00174DE5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50BA6" w:rsidRDefault="00993FB5" w:rsidP="00993FB5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PKP Polskie Linie Kolejowe S.A. zakończą modernizację </w:t>
      </w:r>
      <w:r w:rsidR="000809FC">
        <w:rPr>
          <w:rFonts w:ascii="Arial" w:hAnsi="Arial" w:cs="Arial"/>
          <w:b/>
          <w:bCs/>
          <w:sz w:val="22"/>
          <w:szCs w:val="22"/>
        </w:rPr>
        <w:t>trzech</w:t>
      </w:r>
      <w:r>
        <w:rPr>
          <w:rFonts w:ascii="Arial" w:hAnsi="Arial" w:cs="Arial"/>
          <w:b/>
          <w:bCs/>
          <w:sz w:val="22"/>
          <w:szCs w:val="22"/>
        </w:rPr>
        <w:t xml:space="preserve"> wiaduktów. P</w:t>
      </w:r>
      <w:r w:rsidR="0095533D">
        <w:rPr>
          <w:rFonts w:ascii="Arial" w:hAnsi="Arial" w:cs="Arial"/>
          <w:b/>
          <w:bCs/>
          <w:sz w:val="22"/>
          <w:szCs w:val="22"/>
        </w:rPr>
        <w:t xml:space="preserve">ociągi </w:t>
      </w:r>
      <w:r>
        <w:rPr>
          <w:rFonts w:ascii="Arial" w:hAnsi="Arial" w:cs="Arial"/>
          <w:b/>
          <w:bCs/>
          <w:sz w:val="22"/>
          <w:szCs w:val="22"/>
        </w:rPr>
        <w:t xml:space="preserve">pojada szybciej i bezpieczniej. Krakowianie </w:t>
      </w:r>
      <w:r w:rsidR="0095533D">
        <w:rPr>
          <w:rFonts w:ascii="Arial" w:hAnsi="Arial" w:cs="Arial"/>
          <w:b/>
          <w:bCs/>
          <w:sz w:val="22"/>
          <w:szCs w:val="22"/>
        </w:rPr>
        <w:t>zyskają</w:t>
      </w:r>
      <w:r>
        <w:rPr>
          <w:rFonts w:ascii="Arial" w:hAnsi="Arial" w:cs="Arial"/>
          <w:b/>
          <w:bCs/>
          <w:sz w:val="22"/>
          <w:szCs w:val="22"/>
        </w:rPr>
        <w:t xml:space="preserve"> lepszy system komunikacji </w:t>
      </w:r>
      <w:r w:rsidR="0095533D">
        <w:rPr>
          <w:rFonts w:ascii="Arial" w:hAnsi="Arial" w:cs="Arial"/>
          <w:b/>
          <w:bCs/>
          <w:sz w:val="22"/>
          <w:szCs w:val="22"/>
        </w:rPr>
        <w:t>drogowe</w:t>
      </w:r>
      <w:r>
        <w:rPr>
          <w:rFonts w:ascii="Arial" w:hAnsi="Arial" w:cs="Arial"/>
          <w:b/>
          <w:bCs/>
          <w:sz w:val="22"/>
          <w:szCs w:val="22"/>
        </w:rPr>
        <w:t>j</w:t>
      </w:r>
      <w:r w:rsidR="0095533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Pomiędzy Krakowem Głównym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Mydlnikami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pociągi korzystają już </w:t>
      </w:r>
    </w:p>
    <w:p w:rsidR="00174DE5" w:rsidRPr="003F74F3" w:rsidRDefault="00993FB5" w:rsidP="00993FB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odcinków nowych torów. Teraz ruszyła przebudowa drugiego toru i wiaduktów. </w:t>
      </w:r>
    </w:p>
    <w:p w:rsidR="000E07B9" w:rsidRPr="003F74F3" w:rsidRDefault="000E07B9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4A5C" w:rsidRDefault="00094A5C" w:rsidP="00094A5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488B">
        <w:rPr>
          <w:rFonts w:ascii="Arial" w:hAnsi="Arial" w:cs="Arial"/>
          <w:b/>
          <w:sz w:val="22"/>
          <w:szCs w:val="22"/>
        </w:rPr>
        <w:t>Bezpieczniej dla podróżnych, wygodniej dla mieszkańców</w:t>
      </w:r>
    </w:p>
    <w:p w:rsidR="00094A5C" w:rsidRDefault="00094A5C" w:rsidP="00094A5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Modernizowane przez</w:t>
      </w:r>
      <w:r w:rsidR="00622E61">
        <w:rPr>
          <w:rFonts w:ascii="Arial" w:hAnsi="Arial" w:cs="Arial"/>
          <w:sz w:val="22"/>
          <w:szCs w:val="22"/>
        </w:rPr>
        <w:t xml:space="preserve"> PLK</w:t>
      </w:r>
      <w:r>
        <w:rPr>
          <w:rFonts w:ascii="Arial" w:hAnsi="Arial" w:cs="Arial"/>
          <w:sz w:val="22"/>
          <w:szCs w:val="22"/>
        </w:rPr>
        <w:t xml:space="preserve"> obiekty projektowane są tak, by zwiększyć bezpieczeństwo ruchu poc</w:t>
      </w:r>
      <w:r w:rsidR="00156228">
        <w:rPr>
          <w:rFonts w:ascii="Arial" w:hAnsi="Arial" w:cs="Arial"/>
          <w:sz w:val="22"/>
          <w:szCs w:val="22"/>
        </w:rPr>
        <w:t>iągów i</w:t>
      </w:r>
      <w:r>
        <w:rPr>
          <w:rFonts w:ascii="Arial" w:hAnsi="Arial" w:cs="Arial"/>
          <w:sz w:val="22"/>
          <w:szCs w:val="22"/>
        </w:rPr>
        <w:t xml:space="preserve"> ułatwić </w:t>
      </w:r>
      <w:r w:rsidR="00156228">
        <w:rPr>
          <w:rFonts w:ascii="Arial" w:hAnsi="Arial" w:cs="Arial"/>
          <w:sz w:val="22"/>
          <w:szCs w:val="22"/>
        </w:rPr>
        <w:t>komunikację drogową</w:t>
      </w:r>
      <w:r>
        <w:rPr>
          <w:rFonts w:ascii="Arial" w:hAnsi="Arial" w:cs="Arial"/>
          <w:sz w:val="22"/>
          <w:szCs w:val="22"/>
        </w:rPr>
        <w:t xml:space="preserve">. Wiadukty nad ul. Zielony Most, Godlewskiego </w:t>
      </w:r>
      <w:r w:rsidR="00850BA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Łupaszki będą znacznie powiększone. </w:t>
      </w:r>
      <w:r w:rsidR="0015622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ostaną dostosowane do potrzeb lokalnego ruchu. Będzie więcej miejsca dla kierowców i pieszych. Powstaną szerokie jezdnie i  wygodne chodniki.</w:t>
      </w:r>
    </w:p>
    <w:p w:rsidR="00505AAD" w:rsidRDefault="00156228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Pierwszy etap rozbudowy wiaduktów nad ulicami Zielony Most, Godlewskiego i Łupaszki zakończył się w połowie zeszłego roku. </w:t>
      </w:r>
      <w:r w:rsidR="0049128D">
        <w:rPr>
          <w:rFonts w:ascii="Arial" w:hAnsi="Arial" w:cs="Arial"/>
          <w:sz w:val="22"/>
          <w:szCs w:val="22"/>
        </w:rPr>
        <w:t xml:space="preserve">Modernizacja linii na odcinku od Krakowa Głównego Towarowego do stacji Kraków </w:t>
      </w:r>
      <w:proofErr w:type="spellStart"/>
      <w:r w:rsidR="0049128D">
        <w:rPr>
          <w:rFonts w:ascii="Arial" w:hAnsi="Arial" w:cs="Arial"/>
          <w:sz w:val="22"/>
          <w:szCs w:val="22"/>
        </w:rPr>
        <w:t>Mydlniki</w:t>
      </w:r>
      <w:proofErr w:type="spellEnd"/>
      <w:r w:rsidR="0049128D">
        <w:rPr>
          <w:rFonts w:ascii="Arial" w:hAnsi="Arial" w:cs="Arial"/>
          <w:sz w:val="22"/>
          <w:szCs w:val="22"/>
        </w:rPr>
        <w:t xml:space="preserve"> została </w:t>
      </w:r>
      <w:r>
        <w:rPr>
          <w:rFonts w:ascii="Arial" w:hAnsi="Arial" w:cs="Arial"/>
          <w:sz w:val="22"/>
          <w:szCs w:val="22"/>
        </w:rPr>
        <w:t xml:space="preserve">podzielona </w:t>
      </w:r>
      <w:r w:rsidR="0049128D">
        <w:rPr>
          <w:rFonts w:ascii="Arial" w:hAnsi="Arial" w:cs="Arial"/>
          <w:sz w:val="22"/>
          <w:szCs w:val="22"/>
        </w:rPr>
        <w:t xml:space="preserve">na etapy, tak by cały czas utrzymywać ruch pociągów na tym ważnym szlaku. Ten sposób organizacji pracy dotyczy również przebudowy obiektów inżynierskich. </w:t>
      </w:r>
    </w:p>
    <w:p w:rsidR="00850BA6" w:rsidRDefault="00850BA6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93F59" w:rsidRPr="00393F59" w:rsidRDefault="00393F59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93F59">
        <w:rPr>
          <w:rFonts w:ascii="Arial" w:hAnsi="Arial" w:cs="Arial"/>
          <w:b/>
          <w:sz w:val="22"/>
          <w:szCs w:val="22"/>
        </w:rPr>
        <w:t>Łupaszki – uwaga</w:t>
      </w:r>
      <w:r w:rsidR="00850BA6">
        <w:rPr>
          <w:rFonts w:ascii="Arial" w:hAnsi="Arial" w:cs="Arial"/>
          <w:b/>
          <w:sz w:val="22"/>
          <w:szCs w:val="22"/>
        </w:rPr>
        <w:t>,</w:t>
      </w:r>
      <w:r w:rsidRPr="00393F59">
        <w:rPr>
          <w:rFonts w:ascii="Arial" w:hAnsi="Arial" w:cs="Arial"/>
          <w:b/>
          <w:sz w:val="22"/>
          <w:szCs w:val="22"/>
        </w:rPr>
        <w:t xml:space="preserve"> wyburzenia!</w:t>
      </w:r>
      <w:r w:rsidR="00156228">
        <w:rPr>
          <w:rFonts w:ascii="Arial" w:hAnsi="Arial" w:cs="Arial"/>
          <w:b/>
          <w:sz w:val="22"/>
          <w:szCs w:val="22"/>
        </w:rPr>
        <w:t xml:space="preserve"> Będzie szerzej </w:t>
      </w:r>
    </w:p>
    <w:p w:rsidR="00156228" w:rsidRDefault="00622E61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Właśnie rusza kolejny, ostatni już, etap</w:t>
      </w:r>
      <w:r w:rsidR="0049128D">
        <w:rPr>
          <w:rFonts w:ascii="Arial" w:hAnsi="Arial" w:cs="Arial"/>
          <w:sz w:val="22"/>
          <w:szCs w:val="22"/>
        </w:rPr>
        <w:t xml:space="preserve"> modernizacji tych wiaduktów.</w:t>
      </w:r>
      <w:r>
        <w:rPr>
          <w:rFonts w:ascii="Arial" w:hAnsi="Arial" w:cs="Arial"/>
          <w:sz w:val="22"/>
          <w:szCs w:val="22"/>
        </w:rPr>
        <w:t xml:space="preserve"> Wykonawca pierwsze prace rozpocznie jeszcze w tym tygodniu, nie będą one jednak wymagać zmian w organizacji ruchu. Te pojawią się dopiero w czerwcu. Wtedy w</w:t>
      </w:r>
      <w:r w:rsidR="0049128D">
        <w:rPr>
          <w:rFonts w:ascii="Arial" w:hAnsi="Arial" w:cs="Arial"/>
          <w:sz w:val="22"/>
          <w:szCs w:val="22"/>
        </w:rPr>
        <w:t xml:space="preserve"> pierwszej kolejności zamknięty zostanie przejazd przy </w:t>
      </w:r>
      <w:r>
        <w:rPr>
          <w:rFonts w:ascii="Arial" w:hAnsi="Arial" w:cs="Arial"/>
          <w:sz w:val="22"/>
          <w:szCs w:val="22"/>
        </w:rPr>
        <w:t>ul. Łupaszki. W poniedziałek (4 czerwca</w:t>
      </w:r>
      <w:r w:rsidR="0049128D">
        <w:rPr>
          <w:rFonts w:ascii="Arial" w:hAnsi="Arial" w:cs="Arial"/>
          <w:sz w:val="22"/>
          <w:szCs w:val="22"/>
        </w:rPr>
        <w:t>) rozpocznie się wyburzanie starej konstrukcji obiektu. Rozbiórka</w:t>
      </w:r>
      <w:r>
        <w:rPr>
          <w:rFonts w:ascii="Arial" w:hAnsi="Arial" w:cs="Arial"/>
          <w:sz w:val="22"/>
          <w:szCs w:val="22"/>
        </w:rPr>
        <w:t xml:space="preserve"> trwać będzie dwa tygodnie (do 18</w:t>
      </w:r>
      <w:r w:rsidR="0049128D">
        <w:rPr>
          <w:rFonts w:ascii="Arial" w:hAnsi="Arial" w:cs="Arial"/>
          <w:sz w:val="22"/>
          <w:szCs w:val="22"/>
        </w:rPr>
        <w:t xml:space="preserve"> czerwca). W tym czasie </w:t>
      </w:r>
      <w:r w:rsidR="00772CC5">
        <w:rPr>
          <w:rFonts w:ascii="Arial" w:hAnsi="Arial" w:cs="Arial"/>
          <w:sz w:val="22"/>
          <w:szCs w:val="22"/>
        </w:rPr>
        <w:t>samochody będą kierowane objazdem, przez ul. Godlewskiego.</w:t>
      </w:r>
    </w:p>
    <w:p w:rsidR="00156228" w:rsidRDefault="00156228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09FC" w:rsidRDefault="000809FC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93F59" w:rsidRPr="00393F59" w:rsidRDefault="00393F59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93F59">
        <w:rPr>
          <w:rFonts w:ascii="Arial" w:hAnsi="Arial" w:cs="Arial"/>
          <w:b/>
          <w:sz w:val="22"/>
          <w:szCs w:val="22"/>
        </w:rPr>
        <w:lastRenderedPageBreak/>
        <w:t>Zielony Most i Godlewskiego – szeroki zakres prac</w:t>
      </w:r>
    </w:p>
    <w:p w:rsidR="00772CC5" w:rsidRDefault="00393F59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przywróceniu ruchu na ul. Łupaszki rozpocznie się przebudowa dwóch pozostałych wiaduktów – na ul. Zielony Most i ul. Godlewskiego. W </w:t>
      </w:r>
      <w:r w:rsidR="0055488B">
        <w:rPr>
          <w:rFonts w:ascii="Arial" w:hAnsi="Arial" w:cs="Arial"/>
          <w:sz w:val="22"/>
          <w:szCs w:val="22"/>
        </w:rPr>
        <w:t>obu przypadkach roboty bud</w:t>
      </w:r>
      <w:r w:rsidR="00622E61">
        <w:rPr>
          <w:rFonts w:ascii="Arial" w:hAnsi="Arial" w:cs="Arial"/>
          <w:sz w:val="22"/>
          <w:szCs w:val="22"/>
        </w:rPr>
        <w:t>owlane potrwają dłużej, bo ok. 3,5 miesiąca</w:t>
      </w:r>
      <w:r w:rsidR="0055488B">
        <w:rPr>
          <w:rFonts w:ascii="Arial" w:hAnsi="Arial" w:cs="Arial"/>
          <w:sz w:val="22"/>
          <w:szCs w:val="22"/>
        </w:rPr>
        <w:t xml:space="preserve">. W tym czasie wykonawca będzie musiał rozebrać stare elementy wiaduktów, a także przebudować wszystkie sieci podziemne, które znajdują się </w:t>
      </w:r>
      <w:r w:rsidR="00850BA6">
        <w:rPr>
          <w:rFonts w:ascii="Arial" w:hAnsi="Arial" w:cs="Arial"/>
          <w:sz w:val="22"/>
          <w:szCs w:val="22"/>
        </w:rPr>
        <w:br/>
      </w:r>
      <w:r w:rsidR="0055488B">
        <w:rPr>
          <w:rFonts w:ascii="Arial" w:hAnsi="Arial" w:cs="Arial"/>
          <w:sz w:val="22"/>
          <w:szCs w:val="22"/>
        </w:rPr>
        <w:t>w ich rejonie.</w:t>
      </w:r>
      <w:r w:rsidR="00622E61">
        <w:rPr>
          <w:rFonts w:ascii="Arial" w:hAnsi="Arial" w:cs="Arial"/>
          <w:sz w:val="22"/>
          <w:szCs w:val="22"/>
        </w:rPr>
        <w:t xml:space="preserve"> Potem rozpocznie wznoszenie nowych konstrukcji.</w:t>
      </w:r>
    </w:p>
    <w:p w:rsidR="0055488B" w:rsidRDefault="0055488B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trakcie prowadzenia prac kierowcy będą musieli korzystać z alternatywnych dróg, </w:t>
      </w:r>
      <w:r w:rsidR="00850BA6">
        <w:rPr>
          <w:rFonts w:ascii="Arial" w:hAnsi="Arial" w:cs="Arial"/>
          <w:sz w:val="22"/>
          <w:szCs w:val="22"/>
        </w:rPr>
        <w:t>np.</w:t>
      </w:r>
      <w:r>
        <w:rPr>
          <w:rFonts w:ascii="Arial" w:hAnsi="Arial" w:cs="Arial"/>
          <w:sz w:val="22"/>
          <w:szCs w:val="22"/>
        </w:rPr>
        <w:t xml:space="preserve"> przez ul. Łupaszki lub ul. Armii Krajowej. Dla pieszych wyznaczone zostanie obejście przejściem podziemnym wzdłuż ul. Katowickiej.</w:t>
      </w:r>
      <w:r w:rsidR="00622E61">
        <w:rPr>
          <w:rFonts w:ascii="Arial" w:hAnsi="Arial" w:cs="Arial"/>
          <w:sz w:val="22"/>
          <w:szCs w:val="22"/>
        </w:rPr>
        <w:t xml:space="preserve"> Gdy tylko pozwolą na to warunki bezpieczeństwa, ruch pieszych przez ul. Zielony Most zostanie przywrócony. </w:t>
      </w:r>
      <w:r w:rsidR="00985E62">
        <w:rPr>
          <w:rFonts w:ascii="Arial" w:hAnsi="Arial" w:cs="Arial"/>
          <w:sz w:val="22"/>
          <w:szCs w:val="22"/>
        </w:rPr>
        <w:t>Harmonogram realizacji prac zakłada, że stanie się to w połowie sierpnia.</w:t>
      </w:r>
    </w:p>
    <w:p w:rsidR="00850BA6" w:rsidRDefault="00850BA6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45CC" w:rsidRPr="009119BE" w:rsidRDefault="00C357AA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19BE">
        <w:rPr>
          <w:rFonts w:ascii="Arial" w:hAnsi="Arial" w:cs="Arial"/>
          <w:b/>
          <w:sz w:val="22"/>
          <w:szCs w:val="22"/>
        </w:rPr>
        <w:t>Na ul. Rydla bezkolizyjnie</w:t>
      </w:r>
    </w:p>
    <w:p w:rsidR="00F145CC" w:rsidRDefault="00F145CC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Równolegle</w:t>
      </w:r>
      <w:r w:rsidR="009119BE">
        <w:rPr>
          <w:rFonts w:ascii="Arial" w:hAnsi="Arial" w:cs="Arial"/>
          <w:sz w:val="22"/>
          <w:szCs w:val="22"/>
        </w:rPr>
        <w:t xml:space="preserve">, bliżej centrum Krakowa, </w:t>
      </w:r>
      <w:r>
        <w:rPr>
          <w:rFonts w:ascii="Arial" w:hAnsi="Arial" w:cs="Arial"/>
          <w:sz w:val="22"/>
          <w:szCs w:val="22"/>
        </w:rPr>
        <w:t xml:space="preserve">trwa budowa wiaduktu kolejowego w ciągu ul. Rydla. </w:t>
      </w:r>
      <w:r w:rsidR="00850BA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Do tej pory zlokalizowany w tamtym miejscu był przejazd kolejowo – drogowy. Po zakończeniu prac kierowcy będą korzystać z tunelu pod linią kolejową, co przyspieszy poruszanie się po okolicy. Z kolei rozbudowa sąsiedniego skrzyżowania ul. Rydla z ul. </w:t>
      </w:r>
      <w:r w:rsidR="009119BE">
        <w:rPr>
          <w:rFonts w:ascii="Arial" w:hAnsi="Arial" w:cs="Arial"/>
          <w:sz w:val="22"/>
          <w:szCs w:val="22"/>
        </w:rPr>
        <w:t>Radzikowskiego</w:t>
      </w:r>
      <w:r>
        <w:rPr>
          <w:rFonts w:ascii="Arial" w:hAnsi="Arial" w:cs="Arial"/>
          <w:sz w:val="22"/>
          <w:szCs w:val="22"/>
        </w:rPr>
        <w:t xml:space="preserve"> ułatw</w:t>
      </w:r>
      <w:r w:rsidR="009119BE">
        <w:rPr>
          <w:rFonts w:ascii="Arial" w:hAnsi="Arial" w:cs="Arial"/>
          <w:sz w:val="22"/>
          <w:szCs w:val="22"/>
        </w:rPr>
        <w:t>i wyjazd z osiedla. Otwarcie nowego przejazdu planowane jest na 1 listopada 2018 roku.</w:t>
      </w:r>
    </w:p>
    <w:p w:rsidR="00850BA6" w:rsidRDefault="00850BA6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5AAD" w:rsidRPr="00505AAD" w:rsidRDefault="00C357AA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Kolej łączy Małopolskę ze Śląskiem</w:t>
      </w:r>
    </w:p>
    <w:p w:rsidR="00850BA6" w:rsidRPr="003F74F3" w:rsidRDefault="00C357AA" w:rsidP="00850BA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Przebudowywany o</w:t>
      </w:r>
      <w:r w:rsidR="006A3DAC" w:rsidRPr="003F74F3">
        <w:rPr>
          <w:rFonts w:ascii="Arial" w:hAnsi="Arial" w:cs="Arial"/>
          <w:sz w:val="22"/>
          <w:szCs w:val="22"/>
        </w:rPr>
        <w:t xml:space="preserve">dcinek linii kolejowej Kraków Główny Towarowy – Kraków </w:t>
      </w:r>
      <w:proofErr w:type="spellStart"/>
      <w:r w:rsidR="006A3DAC" w:rsidRPr="003F74F3">
        <w:rPr>
          <w:rFonts w:ascii="Arial" w:hAnsi="Arial" w:cs="Arial"/>
          <w:sz w:val="22"/>
          <w:szCs w:val="22"/>
        </w:rPr>
        <w:t>Mydlniki</w:t>
      </w:r>
      <w:proofErr w:type="spellEnd"/>
      <w:r w:rsidR="006A3DAC" w:rsidRPr="003F74F3">
        <w:rPr>
          <w:rFonts w:ascii="Arial" w:hAnsi="Arial" w:cs="Arial"/>
          <w:sz w:val="22"/>
          <w:szCs w:val="22"/>
        </w:rPr>
        <w:t xml:space="preserve"> jest </w:t>
      </w:r>
      <w:r>
        <w:rPr>
          <w:rFonts w:ascii="Arial" w:hAnsi="Arial" w:cs="Arial"/>
          <w:sz w:val="22"/>
          <w:szCs w:val="22"/>
        </w:rPr>
        <w:t xml:space="preserve">fragmentem szlaku kolejowego </w:t>
      </w:r>
      <w:r w:rsidR="00BD3518" w:rsidRPr="003F74F3">
        <w:rPr>
          <w:rFonts w:ascii="Arial" w:hAnsi="Arial" w:cs="Arial"/>
          <w:sz w:val="22"/>
          <w:szCs w:val="22"/>
        </w:rPr>
        <w:t>do Katowic</w:t>
      </w:r>
      <w:r w:rsidR="006A3DAC" w:rsidRPr="003F74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Trwająca modernizacja</w:t>
      </w:r>
      <w:r w:rsidR="006A3DAC" w:rsidRPr="003F74F3">
        <w:rPr>
          <w:rFonts w:ascii="Arial" w:hAnsi="Arial" w:cs="Arial"/>
          <w:sz w:val="22"/>
          <w:szCs w:val="22"/>
        </w:rPr>
        <w:t xml:space="preserve"> umożliwi podniesienie prędkości pociągów do 160 km/h i skrócenie czasu podróży </w:t>
      </w:r>
      <w:r w:rsidR="00850BA6">
        <w:rPr>
          <w:rFonts w:ascii="Arial" w:hAnsi="Arial" w:cs="Arial"/>
          <w:sz w:val="22"/>
          <w:szCs w:val="22"/>
        </w:rPr>
        <w:t>z Krakowa do Katowic</w:t>
      </w:r>
      <w:r w:rsidR="005B0F55">
        <w:rPr>
          <w:rFonts w:ascii="Arial" w:hAnsi="Arial" w:cs="Arial"/>
          <w:sz w:val="22"/>
          <w:szCs w:val="22"/>
        </w:rPr>
        <w:t xml:space="preserve"> do</w:t>
      </w:r>
      <w:r w:rsidR="006A3DAC" w:rsidRPr="003F74F3">
        <w:rPr>
          <w:rFonts w:ascii="Arial" w:hAnsi="Arial" w:cs="Arial"/>
          <w:sz w:val="22"/>
          <w:szCs w:val="22"/>
        </w:rPr>
        <w:t xml:space="preserve"> ok. 1 </w:t>
      </w:r>
      <w:r w:rsidR="00850BA6">
        <w:rPr>
          <w:rFonts w:ascii="Arial" w:hAnsi="Arial" w:cs="Arial"/>
          <w:sz w:val="22"/>
          <w:szCs w:val="22"/>
        </w:rPr>
        <w:t>h.</w:t>
      </w:r>
      <w:r w:rsidR="006A3DAC" w:rsidRPr="003F7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Inwestycja zakończy</w:t>
      </w:r>
      <w:r w:rsidR="00BD3518" w:rsidRPr="003F74F3">
        <w:rPr>
          <w:rFonts w:ascii="Arial" w:hAnsi="Arial" w:cs="Arial"/>
          <w:sz w:val="22"/>
          <w:szCs w:val="22"/>
        </w:rPr>
        <w:t xml:space="preserve"> się </w:t>
      </w:r>
      <w:r w:rsidR="006A3DAC" w:rsidRPr="003F74F3">
        <w:rPr>
          <w:rFonts w:ascii="Arial" w:hAnsi="Arial" w:cs="Arial"/>
          <w:sz w:val="22"/>
          <w:szCs w:val="22"/>
        </w:rPr>
        <w:t>w 2020 roku. Szacowana wartość projektu opiewa na ok. 2 mld zł.</w:t>
      </w: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174DE5">
      <w:pPr>
        <w:rPr>
          <w:rFonts w:ascii="Arial" w:hAnsi="Arial" w:cs="Arial"/>
          <w:i/>
          <w:sz w:val="18"/>
        </w:rPr>
      </w:pPr>
    </w:p>
    <w:p w:rsidR="00174DE5" w:rsidRDefault="00174DE5" w:rsidP="00174DE5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174DE5" w:rsidRPr="00850BA6" w:rsidRDefault="00174DE5" w:rsidP="00850BA6">
      <w:pPr>
        <w:spacing w:after="120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50BA6">
        <w:rPr>
          <w:rFonts w:ascii="Arial" w:hAnsi="Arial" w:cs="Arial"/>
          <w:b/>
          <w:bCs/>
          <w:color w:val="000000"/>
          <w:sz w:val="20"/>
          <w:szCs w:val="20"/>
        </w:rPr>
        <w:t>Piotr Hamarnik</w:t>
      </w:r>
    </w:p>
    <w:p w:rsidR="00174DE5" w:rsidRPr="00850BA6" w:rsidRDefault="00174DE5" w:rsidP="00850BA6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850BA6"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174DE5" w:rsidRPr="00850BA6" w:rsidRDefault="00174DE5" w:rsidP="00850BA6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850BA6"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Pr="00850BA6" w:rsidRDefault="00174DE5" w:rsidP="00850BA6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 w:rsidRPr="00850BA6">
        <w:rPr>
          <w:rFonts w:ascii="Arial" w:hAnsi="Arial" w:cs="Arial"/>
          <w:color w:val="000000"/>
          <w:sz w:val="20"/>
          <w:szCs w:val="20"/>
          <w:lang w:val="en-US"/>
        </w:rPr>
        <w:t xml:space="preserve">piotr.hamarnik@plk-sa.pl </w:t>
      </w:r>
    </w:p>
    <w:p w:rsidR="00174DE5" w:rsidRDefault="00174DE5" w:rsidP="00850BA6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 w:rsidRPr="00850BA6">
        <w:rPr>
          <w:rFonts w:ascii="Arial" w:hAnsi="Arial" w:cs="Arial"/>
          <w:color w:val="000000"/>
          <w:sz w:val="20"/>
          <w:szCs w:val="20"/>
          <w:lang w:val="en-US"/>
        </w:rPr>
        <w:t>T: + 48 605 352</w:t>
      </w:r>
      <w:r w:rsidR="00850BA6"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Pr="00850BA6">
        <w:rPr>
          <w:rFonts w:ascii="Arial" w:hAnsi="Arial" w:cs="Arial"/>
          <w:color w:val="000000"/>
          <w:sz w:val="20"/>
          <w:szCs w:val="20"/>
          <w:lang w:val="en-US"/>
        </w:rPr>
        <w:t>883</w:t>
      </w:r>
    </w:p>
    <w:p w:rsidR="00850BA6" w:rsidRPr="00850BA6" w:rsidRDefault="00850BA6" w:rsidP="00850BA6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222DD" w:rsidRPr="00850BA6" w:rsidRDefault="00174DE5" w:rsidP="00850BA6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sectPr w:rsidR="00E222DD" w:rsidRPr="00850BA6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CB" w:rsidRDefault="00834FCB" w:rsidP="006B0DBA">
      <w:r>
        <w:separator/>
      </w:r>
    </w:p>
  </w:endnote>
  <w:endnote w:type="continuationSeparator" w:id="0">
    <w:p w:rsidR="00834FCB" w:rsidRDefault="00834FC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CB" w:rsidRDefault="00834FCB" w:rsidP="006B0DBA">
      <w:r w:rsidRPr="006B0DBA">
        <w:rPr>
          <w:color w:val="000000"/>
        </w:rPr>
        <w:separator/>
      </w:r>
    </w:p>
  </w:footnote>
  <w:footnote w:type="continuationSeparator" w:id="0">
    <w:p w:rsidR="00834FCB" w:rsidRDefault="00834FC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7C3"/>
    <w:rsid w:val="00050746"/>
    <w:rsid w:val="000809FC"/>
    <w:rsid w:val="0009203E"/>
    <w:rsid w:val="000949F9"/>
    <w:rsid w:val="00094A5C"/>
    <w:rsid w:val="000B522A"/>
    <w:rsid w:val="000B734D"/>
    <w:rsid w:val="000C0A31"/>
    <w:rsid w:val="000D5AB3"/>
    <w:rsid w:val="000E07B9"/>
    <w:rsid w:val="000E07D2"/>
    <w:rsid w:val="00102768"/>
    <w:rsid w:val="00112715"/>
    <w:rsid w:val="00125FF3"/>
    <w:rsid w:val="001312F7"/>
    <w:rsid w:val="00134363"/>
    <w:rsid w:val="00145DA7"/>
    <w:rsid w:val="001504CE"/>
    <w:rsid w:val="001542CD"/>
    <w:rsid w:val="00156228"/>
    <w:rsid w:val="00163157"/>
    <w:rsid w:val="00174DE5"/>
    <w:rsid w:val="001A1CB7"/>
    <w:rsid w:val="001A6B35"/>
    <w:rsid w:val="001B68D5"/>
    <w:rsid w:val="001D25C6"/>
    <w:rsid w:val="001E20AB"/>
    <w:rsid w:val="001F0681"/>
    <w:rsid w:val="00205E70"/>
    <w:rsid w:val="00224DB5"/>
    <w:rsid w:val="00251066"/>
    <w:rsid w:val="0025219F"/>
    <w:rsid w:val="00272DB9"/>
    <w:rsid w:val="00290613"/>
    <w:rsid w:val="002B70B0"/>
    <w:rsid w:val="002E73D2"/>
    <w:rsid w:val="0031106A"/>
    <w:rsid w:val="00322159"/>
    <w:rsid w:val="003279EA"/>
    <w:rsid w:val="00365DB0"/>
    <w:rsid w:val="003666E5"/>
    <w:rsid w:val="00371D0C"/>
    <w:rsid w:val="00371D66"/>
    <w:rsid w:val="00374F08"/>
    <w:rsid w:val="00375FF4"/>
    <w:rsid w:val="00382CC9"/>
    <w:rsid w:val="00393243"/>
    <w:rsid w:val="00393987"/>
    <w:rsid w:val="00393BE5"/>
    <w:rsid w:val="00393F59"/>
    <w:rsid w:val="003A26A5"/>
    <w:rsid w:val="003A5C55"/>
    <w:rsid w:val="003C0174"/>
    <w:rsid w:val="003E4C05"/>
    <w:rsid w:val="003F74F3"/>
    <w:rsid w:val="00435630"/>
    <w:rsid w:val="004373A7"/>
    <w:rsid w:val="0045462F"/>
    <w:rsid w:val="0046052C"/>
    <w:rsid w:val="00481CC2"/>
    <w:rsid w:val="004842C7"/>
    <w:rsid w:val="0049128D"/>
    <w:rsid w:val="004A19CA"/>
    <w:rsid w:val="004A3D38"/>
    <w:rsid w:val="004B28B2"/>
    <w:rsid w:val="004D4C6C"/>
    <w:rsid w:val="004E4307"/>
    <w:rsid w:val="004F0236"/>
    <w:rsid w:val="00505AAD"/>
    <w:rsid w:val="005165C5"/>
    <w:rsid w:val="00525D7D"/>
    <w:rsid w:val="00551638"/>
    <w:rsid w:val="0055488B"/>
    <w:rsid w:val="00565AD4"/>
    <w:rsid w:val="00576043"/>
    <w:rsid w:val="00585B4B"/>
    <w:rsid w:val="00597BBF"/>
    <w:rsid w:val="005A5E84"/>
    <w:rsid w:val="005B0F55"/>
    <w:rsid w:val="005C42FB"/>
    <w:rsid w:val="00603388"/>
    <w:rsid w:val="00614B65"/>
    <w:rsid w:val="00622E61"/>
    <w:rsid w:val="00664164"/>
    <w:rsid w:val="00683464"/>
    <w:rsid w:val="006A3DAC"/>
    <w:rsid w:val="006B0DBA"/>
    <w:rsid w:val="006C3B56"/>
    <w:rsid w:val="007047E3"/>
    <w:rsid w:val="00745285"/>
    <w:rsid w:val="00772CC5"/>
    <w:rsid w:val="00774113"/>
    <w:rsid w:val="00781B23"/>
    <w:rsid w:val="00782016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34FCB"/>
    <w:rsid w:val="00846176"/>
    <w:rsid w:val="00850BA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905B8E"/>
    <w:rsid w:val="009119BE"/>
    <w:rsid w:val="00941710"/>
    <w:rsid w:val="0094219A"/>
    <w:rsid w:val="0095533D"/>
    <w:rsid w:val="00961B71"/>
    <w:rsid w:val="00963FE3"/>
    <w:rsid w:val="00971821"/>
    <w:rsid w:val="00983C05"/>
    <w:rsid w:val="00985E62"/>
    <w:rsid w:val="009937BF"/>
    <w:rsid w:val="00993FB5"/>
    <w:rsid w:val="00997208"/>
    <w:rsid w:val="009A137E"/>
    <w:rsid w:val="009A1EE8"/>
    <w:rsid w:val="009A21A8"/>
    <w:rsid w:val="009C0CD1"/>
    <w:rsid w:val="009C27A8"/>
    <w:rsid w:val="009C6F0E"/>
    <w:rsid w:val="009D1C6B"/>
    <w:rsid w:val="009D6715"/>
    <w:rsid w:val="009F711C"/>
    <w:rsid w:val="00A05F98"/>
    <w:rsid w:val="00A16B78"/>
    <w:rsid w:val="00A20C2F"/>
    <w:rsid w:val="00A24755"/>
    <w:rsid w:val="00A54015"/>
    <w:rsid w:val="00A54D64"/>
    <w:rsid w:val="00A618D2"/>
    <w:rsid w:val="00A70B4D"/>
    <w:rsid w:val="00A916A2"/>
    <w:rsid w:val="00AA69AA"/>
    <w:rsid w:val="00AC553C"/>
    <w:rsid w:val="00AE6912"/>
    <w:rsid w:val="00AF1833"/>
    <w:rsid w:val="00AF5BBB"/>
    <w:rsid w:val="00B16C68"/>
    <w:rsid w:val="00B23444"/>
    <w:rsid w:val="00B26468"/>
    <w:rsid w:val="00B431A3"/>
    <w:rsid w:val="00B50D5E"/>
    <w:rsid w:val="00B62DF4"/>
    <w:rsid w:val="00B72897"/>
    <w:rsid w:val="00B72938"/>
    <w:rsid w:val="00BA2B15"/>
    <w:rsid w:val="00BB1692"/>
    <w:rsid w:val="00BB202D"/>
    <w:rsid w:val="00BD3518"/>
    <w:rsid w:val="00BD67FC"/>
    <w:rsid w:val="00BE08F0"/>
    <w:rsid w:val="00BE45E9"/>
    <w:rsid w:val="00C015D9"/>
    <w:rsid w:val="00C06139"/>
    <w:rsid w:val="00C30A8A"/>
    <w:rsid w:val="00C34C6C"/>
    <w:rsid w:val="00C357AA"/>
    <w:rsid w:val="00C42C9C"/>
    <w:rsid w:val="00C54BBE"/>
    <w:rsid w:val="00C6269F"/>
    <w:rsid w:val="00C63288"/>
    <w:rsid w:val="00C9204D"/>
    <w:rsid w:val="00CA225D"/>
    <w:rsid w:val="00CB23C4"/>
    <w:rsid w:val="00CD4E4D"/>
    <w:rsid w:val="00CD58AE"/>
    <w:rsid w:val="00D04A3B"/>
    <w:rsid w:val="00D41AA6"/>
    <w:rsid w:val="00D441DF"/>
    <w:rsid w:val="00D55680"/>
    <w:rsid w:val="00D60C03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1071E"/>
    <w:rsid w:val="00E222DD"/>
    <w:rsid w:val="00E90715"/>
    <w:rsid w:val="00ED1D39"/>
    <w:rsid w:val="00ED3723"/>
    <w:rsid w:val="00F0672E"/>
    <w:rsid w:val="00F145CC"/>
    <w:rsid w:val="00F23B31"/>
    <w:rsid w:val="00F33C35"/>
    <w:rsid w:val="00F34201"/>
    <w:rsid w:val="00F3739C"/>
    <w:rsid w:val="00F52106"/>
    <w:rsid w:val="00F67D65"/>
    <w:rsid w:val="00F7125D"/>
    <w:rsid w:val="00F82744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0CE3-C8D5-443C-AE02-53B9113B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2018-05-14T12:25:00Z</cp:lastPrinted>
  <dcterms:created xsi:type="dcterms:W3CDTF">2018-05-14T12:52:00Z</dcterms:created>
  <dcterms:modified xsi:type="dcterms:W3CDTF">2018-05-14T12:52:00Z</dcterms:modified>
</cp:coreProperties>
</file>