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495E5" w14:textId="77777777" w:rsidR="0063625B" w:rsidRDefault="0063625B" w:rsidP="009D1AEB">
      <w:pPr>
        <w:jc w:val="right"/>
        <w:rPr>
          <w:rFonts w:cs="Arial"/>
        </w:rPr>
      </w:pPr>
    </w:p>
    <w:p w14:paraId="4FD72D3C" w14:textId="77777777" w:rsidR="0063625B" w:rsidRDefault="0063625B" w:rsidP="009D1AEB">
      <w:pPr>
        <w:jc w:val="right"/>
        <w:rPr>
          <w:rFonts w:cs="Arial"/>
        </w:rPr>
      </w:pPr>
    </w:p>
    <w:p w14:paraId="0CEF35BC" w14:textId="77777777" w:rsidR="0063625B" w:rsidRDefault="0063625B" w:rsidP="009D1AEB">
      <w:pPr>
        <w:jc w:val="right"/>
        <w:rPr>
          <w:rFonts w:cs="Arial"/>
        </w:rPr>
      </w:pPr>
    </w:p>
    <w:p w14:paraId="4FED2618" w14:textId="4143712A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0B28F1">
        <w:rPr>
          <w:rFonts w:cs="Arial"/>
          <w:color w:val="FF0000"/>
        </w:rPr>
        <w:t xml:space="preserve"> </w:t>
      </w:r>
      <w:r w:rsidR="00F96A93">
        <w:rPr>
          <w:rFonts w:cs="Arial"/>
        </w:rPr>
        <w:t>10</w:t>
      </w:r>
      <w:r w:rsidR="00052E42">
        <w:rPr>
          <w:rFonts w:cs="Arial"/>
        </w:rPr>
        <w:t xml:space="preserve"> lipca</w:t>
      </w:r>
      <w:r w:rsidR="000602CB" w:rsidRPr="000A0ECD">
        <w:rPr>
          <w:rFonts w:cs="Arial"/>
        </w:rPr>
        <w:t xml:space="preserve"> </w:t>
      </w:r>
      <w:r w:rsidR="000A0ECD">
        <w:rPr>
          <w:rFonts w:cs="Arial"/>
        </w:rPr>
        <w:t>2023</w:t>
      </w:r>
      <w:r w:rsidRPr="003D74BF">
        <w:rPr>
          <w:rFonts w:cs="Arial"/>
        </w:rPr>
        <w:t xml:space="preserve"> r.</w:t>
      </w:r>
    </w:p>
    <w:p w14:paraId="57DB346B" w14:textId="77777777" w:rsidR="005943F9" w:rsidRPr="00B648AA" w:rsidRDefault="00D65529" w:rsidP="00B648AA">
      <w:pPr>
        <w:pStyle w:val="Nagwek1"/>
      </w:pPr>
      <w:r>
        <w:t>Będzie lepszy dostęp do kolei w Bydgoszczy</w:t>
      </w:r>
    </w:p>
    <w:p w14:paraId="0F76D493" w14:textId="47A0AA35" w:rsidR="0088595C" w:rsidRDefault="00D65529" w:rsidP="0085150F">
      <w:pPr>
        <w:spacing w:line="360" w:lineRule="auto"/>
        <w:rPr>
          <w:b/>
        </w:rPr>
      </w:pPr>
      <w:bookmarkStart w:id="0" w:name="_GoBack"/>
      <w:r>
        <w:rPr>
          <w:b/>
        </w:rPr>
        <w:t>Wygodniejsze perony na przystanku Bydgoszcz Zachód zachęc</w:t>
      </w:r>
      <w:r w:rsidR="00B1081D">
        <w:rPr>
          <w:b/>
        </w:rPr>
        <w:t>ą</w:t>
      </w:r>
      <w:r>
        <w:rPr>
          <w:b/>
        </w:rPr>
        <w:t xml:space="preserve"> do podróży koleją w kierunku </w:t>
      </w:r>
      <w:r w:rsidR="00BD1384">
        <w:rPr>
          <w:b/>
        </w:rPr>
        <w:t xml:space="preserve">Nakła nad Notecią, </w:t>
      </w:r>
      <w:r>
        <w:rPr>
          <w:b/>
        </w:rPr>
        <w:t xml:space="preserve">Piły </w:t>
      </w:r>
      <w:r w:rsidR="00BD1384">
        <w:rPr>
          <w:b/>
        </w:rPr>
        <w:t>oraz</w:t>
      </w:r>
      <w:r>
        <w:rPr>
          <w:b/>
        </w:rPr>
        <w:t xml:space="preserve"> do centrum miasta. </w:t>
      </w:r>
      <w:r w:rsidR="00D85652" w:rsidRPr="0085150F">
        <w:rPr>
          <w:b/>
        </w:rPr>
        <w:t>PKP Polskie Linie Kolejowe S.A.</w:t>
      </w:r>
      <w:r w:rsidR="0088595C">
        <w:rPr>
          <w:b/>
        </w:rPr>
        <w:t xml:space="preserve"> </w:t>
      </w:r>
      <w:r>
        <w:rPr>
          <w:b/>
        </w:rPr>
        <w:t xml:space="preserve">podpisały umowę na zaprojektowanie i przebudowę peronów. Zadanie jest </w:t>
      </w:r>
      <w:r w:rsidR="0088595C">
        <w:rPr>
          <w:b/>
        </w:rPr>
        <w:t>finanso</w:t>
      </w:r>
      <w:r>
        <w:rPr>
          <w:b/>
        </w:rPr>
        <w:t>wane</w:t>
      </w:r>
      <w:r w:rsidR="00D85652" w:rsidRPr="0085150F">
        <w:rPr>
          <w:b/>
        </w:rPr>
        <w:t xml:space="preserve"> </w:t>
      </w:r>
      <w:r w:rsidR="001A0115" w:rsidRPr="0085150F">
        <w:rPr>
          <w:b/>
        </w:rPr>
        <w:t xml:space="preserve">ze środków </w:t>
      </w:r>
      <w:r w:rsidR="00D85652" w:rsidRPr="0085150F">
        <w:rPr>
          <w:b/>
        </w:rPr>
        <w:t xml:space="preserve">„Rządowego programu budowy lub modernizacji przystanków kolejowych na lata 2021-2025”. </w:t>
      </w:r>
    </w:p>
    <w:bookmarkEnd w:id="0"/>
    <w:p w14:paraId="5CC5CDDD" w14:textId="69372ECB" w:rsidR="00CA566B" w:rsidRDefault="00CA566B" w:rsidP="00CA566B">
      <w:pPr>
        <w:spacing w:line="360" w:lineRule="auto"/>
      </w:pPr>
      <w:r>
        <w:t xml:space="preserve">PKP Polskie Linie Kolejowe S.A. </w:t>
      </w:r>
      <w:r w:rsidRPr="00B1081D">
        <w:t xml:space="preserve">podpisały umowę z firmą </w:t>
      </w:r>
      <w:r w:rsidR="00B1081D" w:rsidRPr="00B1081D">
        <w:t>Gór-Tor sp. z o.o.</w:t>
      </w:r>
      <w:r w:rsidRPr="00B1081D">
        <w:t xml:space="preserve"> na przygotowanie dokumentacji projektowej oraz realizację prac budowlanych na </w:t>
      </w:r>
      <w:r w:rsidR="00F978AA" w:rsidRPr="00B1081D">
        <w:t xml:space="preserve">przystanku </w:t>
      </w:r>
      <w:r w:rsidR="00F978AA" w:rsidRPr="00B1081D">
        <w:rPr>
          <w:bCs/>
        </w:rPr>
        <w:t>Bydgoszcz Zachód</w:t>
      </w:r>
      <w:r w:rsidR="00F978AA" w:rsidRPr="00B1081D">
        <w:t xml:space="preserve"> (linia kolejowa nr 18 Kutno – Piła Główna). </w:t>
      </w:r>
      <w:r w:rsidRPr="00B1081D">
        <w:t xml:space="preserve">Koszt zadania wyniesie </w:t>
      </w:r>
      <w:r w:rsidR="00B1081D" w:rsidRPr="00B1081D">
        <w:t>4,</w:t>
      </w:r>
      <w:r w:rsidR="00052E42">
        <w:t>5</w:t>
      </w:r>
      <w:r w:rsidRPr="00B1081D">
        <w:t xml:space="preserve"> mln zł netto. </w:t>
      </w:r>
    </w:p>
    <w:p w14:paraId="2B77758C" w14:textId="71112ED3" w:rsidR="00F978AA" w:rsidRPr="00890F3B" w:rsidRDefault="00CA566B" w:rsidP="00890F3B">
      <w:pPr>
        <w:spacing w:line="360" w:lineRule="auto"/>
      </w:pPr>
      <w:r>
        <w:t xml:space="preserve">Przebudowane dwa perony na przystanku będą wyższe, dzięki czemu podróżni łatwiej wsiądą do pociągów odjeżdżających w kierunku centrum miasta oraz Nakła nad Notecią i Piły. Zamontowane zostaną nowe wiaty, ławki i poręcze do odpoczynku na stojąco. Będzie energooszczędne oświetlenie oraz gabloty informacyjne i czytelne oznakowanie. Wygodne dojścia do przystanku ułatwią dostęp na perony osobom o ograniczonych możliwościach poruszania się. Zapewnione </w:t>
      </w:r>
      <w:r w:rsidRPr="00890F3B">
        <w:t xml:space="preserve">będą również stojaki rowerowe. </w:t>
      </w:r>
    </w:p>
    <w:p w14:paraId="3B3E4006" w14:textId="6DBF1788" w:rsidR="00890F3B" w:rsidRPr="00890F3B" w:rsidRDefault="00890F3B" w:rsidP="00890F3B">
      <w:pPr>
        <w:spacing w:line="360" w:lineRule="auto"/>
        <w:rPr>
          <w:rFonts w:ascii="Calibri" w:hAnsi="Calibri"/>
          <w:b/>
          <w:bCs/>
        </w:rPr>
      </w:pPr>
      <w:r w:rsidRPr="00890F3B">
        <w:rPr>
          <w:b/>
          <w:bCs/>
        </w:rPr>
        <w:t xml:space="preserve">- </w:t>
      </w:r>
      <w:r w:rsidRPr="00890F3B">
        <w:rPr>
          <w:b/>
          <w:bCs/>
          <w:i/>
          <w:iCs/>
        </w:rPr>
        <w:t xml:space="preserve">Rządowy Program Przystankowy jest jednym z filarów naszej walki </w:t>
      </w:r>
      <w:r>
        <w:rPr>
          <w:b/>
          <w:bCs/>
          <w:i/>
          <w:iCs/>
        </w:rPr>
        <w:t>z</w:t>
      </w:r>
      <w:r w:rsidRPr="00890F3B">
        <w:rPr>
          <w:b/>
          <w:bCs/>
          <w:i/>
          <w:iCs/>
        </w:rPr>
        <w:t xml:space="preserve"> wykluczeniem komunikacyjnym. W jego ramach budujemy i odbudowujemy przystanki kolejowe, by kolej mogła docierać do jak największej liczby miejscowości. Teraz do wygodnego transportu kolejowego dostęp otrzymają także mieszkańcy Bydgoszczy. Efektem podpisanej przez PLK</w:t>
      </w:r>
      <w:r w:rsidR="001C7863">
        <w:rPr>
          <w:b/>
          <w:bCs/>
          <w:i/>
          <w:iCs/>
        </w:rPr>
        <w:t xml:space="preserve"> S.A.</w:t>
      </w:r>
      <w:r w:rsidRPr="00890F3B">
        <w:rPr>
          <w:b/>
          <w:bCs/>
          <w:i/>
          <w:iCs/>
        </w:rPr>
        <w:t xml:space="preserve"> umowy będzie większy komfort podróży i zmniejszenie wykluczenia komunikacyjnego w regionie</w:t>
      </w:r>
      <w:r w:rsidRPr="00890F3B">
        <w:rPr>
          <w:b/>
          <w:bCs/>
        </w:rPr>
        <w:t xml:space="preserve"> </w:t>
      </w:r>
      <w:r>
        <w:rPr>
          <w:b/>
          <w:bCs/>
        </w:rPr>
        <w:t>–</w:t>
      </w:r>
      <w:r w:rsidRPr="00890F3B">
        <w:rPr>
          <w:b/>
          <w:bCs/>
        </w:rPr>
        <w:t xml:space="preserve"> powiedział Andrzej </w:t>
      </w:r>
      <w:proofErr w:type="spellStart"/>
      <w:r w:rsidRPr="00890F3B">
        <w:rPr>
          <w:b/>
          <w:bCs/>
        </w:rPr>
        <w:t>Bittel</w:t>
      </w:r>
      <w:proofErr w:type="spellEnd"/>
      <w:r w:rsidRPr="00890F3B">
        <w:rPr>
          <w:b/>
          <w:bCs/>
        </w:rPr>
        <w:t>, wiceminister infrastruktury, pełnomocnik rządu ds. przeciwdziałania wykluczeniu komunikacyjnemu.</w:t>
      </w:r>
    </w:p>
    <w:p w14:paraId="416656C1" w14:textId="1117AEEF" w:rsidR="0039049E" w:rsidRPr="0039049E" w:rsidRDefault="0039049E" w:rsidP="0085150F">
      <w:pPr>
        <w:spacing w:line="360" w:lineRule="auto"/>
        <w:rPr>
          <w:b/>
        </w:rPr>
      </w:pPr>
      <w:r>
        <w:rPr>
          <w:b/>
        </w:rPr>
        <w:t xml:space="preserve">- </w:t>
      </w:r>
      <w:r>
        <w:rPr>
          <w:b/>
          <w:i/>
        </w:rPr>
        <w:t>Efektem prac na przystanku Bydgoszcz Zachód będzie ułatwienie dostępu do kolei wszystkim podróżnym w tej części stolicy województwa kujawsko – pomorskiego. Także dzięki środkom z „Rządowego programu budowy lub modernizacji przystanków kolejowych na lata 2021-2025” kolej w regionie zmienia się na lepsze. To najbardziej ekologiczny środek transportu, coraz bardziej przewidywalny i bezpieczniejszy, co zachęca do wyboru pociągu w codziennych podróżach do pracy lub szkoły</w:t>
      </w:r>
      <w:r>
        <w:rPr>
          <w:b/>
        </w:rPr>
        <w:t xml:space="preserve"> </w:t>
      </w:r>
      <w:r w:rsidR="00890F3B">
        <w:rPr>
          <w:b/>
        </w:rPr>
        <w:t>–</w:t>
      </w:r>
      <w:r>
        <w:rPr>
          <w:b/>
        </w:rPr>
        <w:t xml:space="preserve"> powiedział Ireneusz Merchel, prezes Zarządu PKP Polskich Linii Kolejowych S.A.</w:t>
      </w:r>
    </w:p>
    <w:p w14:paraId="20E542AB" w14:textId="77777777" w:rsidR="00A50313" w:rsidRDefault="00CA566B" w:rsidP="0085150F">
      <w:pPr>
        <w:spacing w:line="360" w:lineRule="auto"/>
      </w:pPr>
      <w:r>
        <w:lastRenderedPageBreak/>
        <w:t xml:space="preserve">Środki na inwestycję pochodzą z </w:t>
      </w:r>
      <w:r w:rsidRPr="00F978AA">
        <w:t>„Rządowego programu budowy lub modernizacji przystanków kolejowych na lata 2021-2025”.</w:t>
      </w:r>
      <w:r>
        <w:t xml:space="preserve"> Zakończenie prac planuje się do końca września 2024 r.</w:t>
      </w:r>
    </w:p>
    <w:p w14:paraId="163B668D" w14:textId="77777777" w:rsidR="00CA566B" w:rsidRDefault="00CA566B" w:rsidP="00CA566B">
      <w:pPr>
        <w:spacing w:line="360" w:lineRule="auto"/>
        <w:rPr>
          <w:rFonts w:cs="Arial"/>
          <w:bCs/>
        </w:rPr>
      </w:pPr>
      <w:r w:rsidRPr="00421617">
        <w:t>Celem</w:t>
      </w:r>
      <w:r>
        <w:t xml:space="preserve"> Programu o łącznej wartości 1 mld zł</w:t>
      </w:r>
      <w:r w:rsidRPr="00421617">
        <w:t xml:space="preserve"> jest przeciwdziałanie wykluczeniu komunikacyjnemu, promowanie ekologicznych środków transportu oraz wspieranie polskiej gospodarki. Zaplanowane zadania inwestycyjne umożliwią podróżnym dostęp do kolejowej komunikacji wojewódzkiej i międzywojewódzkiej</w:t>
      </w:r>
      <w:r>
        <w:t xml:space="preserve">. </w:t>
      </w:r>
    </w:p>
    <w:p w14:paraId="7FD9ED2F" w14:textId="551E7923" w:rsidR="006239D7" w:rsidRDefault="00CA566B" w:rsidP="00F978AA">
      <w:pPr>
        <w:spacing w:line="360" w:lineRule="auto"/>
        <w:rPr>
          <w:rStyle w:val="Pogrubienie"/>
          <w:rFonts w:cs="Arial"/>
          <w:b w:val="0"/>
        </w:rPr>
      </w:pPr>
      <w:r>
        <w:t>N</w:t>
      </w:r>
      <w:r w:rsidR="006239D7">
        <w:t>a terenie woj. kujawsko-pomorskiego</w:t>
      </w:r>
      <w:r>
        <w:t xml:space="preserve"> w ramach Programu</w:t>
      </w:r>
      <w:r w:rsidR="006239D7">
        <w:t xml:space="preserve"> </w:t>
      </w:r>
      <w:r>
        <w:t>zmodernizowano już przystanek</w:t>
      </w:r>
      <w:r w:rsidR="006239D7">
        <w:t xml:space="preserve"> </w:t>
      </w:r>
      <w:proofErr w:type="spellStart"/>
      <w:r w:rsidR="006239D7" w:rsidRPr="006239D7">
        <w:rPr>
          <w:b/>
        </w:rPr>
        <w:t>Grzybno</w:t>
      </w:r>
      <w:proofErr w:type="spellEnd"/>
      <w:r w:rsidR="006239D7">
        <w:rPr>
          <w:rFonts w:cs="Arial"/>
        </w:rPr>
        <w:t xml:space="preserve">. </w:t>
      </w:r>
      <w:r>
        <w:rPr>
          <w:rStyle w:val="Pogrubienie"/>
          <w:rFonts w:cs="Arial"/>
          <w:b w:val="0"/>
        </w:rPr>
        <w:t>Zbudowane zostaną także m. in. nowe przystanki</w:t>
      </w:r>
      <w:r w:rsidR="006239D7" w:rsidRPr="00815D79">
        <w:rPr>
          <w:rStyle w:val="Pogrubienie"/>
          <w:rFonts w:cs="Arial"/>
          <w:b w:val="0"/>
        </w:rPr>
        <w:t xml:space="preserve"> </w:t>
      </w:r>
      <w:r w:rsidR="006239D7" w:rsidRPr="006239D7">
        <w:rPr>
          <w:b/>
        </w:rPr>
        <w:t xml:space="preserve">Grudziądz </w:t>
      </w:r>
      <w:r w:rsidR="00B1081D">
        <w:rPr>
          <w:b/>
        </w:rPr>
        <w:t>Śródmieście (Centrum)</w:t>
      </w:r>
      <w:r w:rsidR="006239D7" w:rsidRPr="00815D79">
        <w:t xml:space="preserve">, </w:t>
      </w:r>
      <w:r w:rsidR="006239D7" w:rsidRPr="006239D7">
        <w:rPr>
          <w:b/>
        </w:rPr>
        <w:t>Grudziądz Tuszewo</w:t>
      </w:r>
      <w:r w:rsidR="006239D7">
        <w:t xml:space="preserve">, </w:t>
      </w:r>
      <w:r w:rsidR="006239D7" w:rsidRPr="006239D7">
        <w:rPr>
          <w:b/>
        </w:rPr>
        <w:t>Grudziądz Rządz</w:t>
      </w:r>
      <w:r w:rsidR="006239D7">
        <w:t xml:space="preserve">, </w:t>
      </w:r>
      <w:r w:rsidR="006239D7" w:rsidRPr="006239D7">
        <w:rPr>
          <w:b/>
        </w:rPr>
        <w:t>Tuchola Rudzki Most</w:t>
      </w:r>
      <w:r>
        <w:t xml:space="preserve"> oraz przebudowane zostanie</w:t>
      </w:r>
      <w:r w:rsidR="006239D7">
        <w:t xml:space="preserve"> przejś</w:t>
      </w:r>
      <w:r>
        <w:t>cie podziemne</w:t>
      </w:r>
      <w:r w:rsidR="006239D7">
        <w:t xml:space="preserve"> na stacji </w:t>
      </w:r>
      <w:r w:rsidR="006239D7" w:rsidRPr="006239D7">
        <w:rPr>
          <w:b/>
        </w:rPr>
        <w:t>Nakło nad Notecią</w:t>
      </w:r>
      <w:r w:rsidR="006239D7">
        <w:t>. Na wymie</w:t>
      </w:r>
      <w:r w:rsidR="000B28F1">
        <w:t xml:space="preserve">nione lokalizacje podpisano </w:t>
      </w:r>
      <w:r w:rsidR="006239D7">
        <w:t>umowy na przygotowanie dokumentacji projektowych oraz realizację prac budowlanych.</w:t>
      </w:r>
      <w:r w:rsidR="00052E42">
        <w:t xml:space="preserve"> Na budowę nowego przystanku w </w:t>
      </w:r>
      <w:r w:rsidR="00052E42" w:rsidRPr="00052E42">
        <w:rPr>
          <w:b/>
          <w:bCs/>
        </w:rPr>
        <w:t>Trzeciewnicy</w:t>
      </w:r>
      <w:r w:rsidR="00052E42">
        <w:t xml:space="preserve"> prowadzone jest postępowanie przetargowe. </w:t>
      </w:r>
    </w:p>
    <w:p w14:paraId="666D2C97" w14:textId="7C029F08" w:rsidR="001A0115" w:rsidRPr="006239D7" w:rsidRDefault="001A0115" w:rsidP="0085150F">
      <w:pPr>
        <w:spacing w:line="360" w:lineRule="auto"/>
        <w:rPr>
          <w:rFonts w:cs="Arial"/>
          <w:bCs/>
        </w:rPr>
      </w:pPr>
      <w:r w:rsidRPr="00184F38">
        <w:t>W „Rządowym programie budowy lub modernizacji przystanków kolejowych na lata 2021-20</w:t>
      </w:r>
      <w:r w:rsidR="006B0E61">
        <w:t>25” uwzględniono 314 lokalizacj</w:t>
      </w:r>
      <w:r w:rsidR="00052E42">
        <w:t>i</w:t>
      </w:r>
      <w:r w:rsidRPr="00184F38">
        <w:t xml:space="preserve"> w całej Polsce. Na liście podstawowej jest </w:t>
      </w:r>
      <w:r w:rsidR="00D83231">
        <w:t>207</w:t>
      </w:r>
      <w:r w:rsidRPr="00184F38">
        <w:t xml:space="preserve"> lokalizacji, a na liście rezerwowej </w:t>
      </w:r>
      <w:r w:rsidR="00D83231">
        <w:t>107</w:t>
      </w:r>
      <w:r w:rsidRPr="00184F38">
        <w:t>.</w:t>
      </w:r>
    </w:p>
    <w:p w14:paraId="05549B43" w14:textId="77777777" w:rsidR="00CA566B" w:rsidRDefault="00CA566B" w:rsidP="00B648AA">
      <w:pPr>
        <w:spacing w:after="0" w:line="360" w:lineRule="auto"/>
        <w:rPr>
          <w:rStyle w:val="Pogrubienie"/>
          <w:rFonts w:cs="Arial"/>
        </w:rPr>
      </w:pPr>
    </w:p>
    <w:p w14:paraId="19D51D3A" w14:textId="77777777" w:rsidR="007C1108" w:rsidRDefault="007C1108" w:rsidP="00B64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1FCF0347" w14:textId="77777777" w:rsidR="007C1108" w:rsidRDefault="007C1108" w:rsidP="00B648AA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p w14:paraId="63BD8006" w14:textId="77777777"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F652F" w14:textId="77777777" w:rsidR="0041148B" w:rsidRDefault="0041148B" w:rsidP="009D1AEB">
      <w:pPr>
        <w:spacing w:after="0" w:line="240" w:lineRule="auto"/>
      </w:pPr>
      <w:r>
        <w:separator/>
      </w:r>
    </w:p>
  </w:endnote>
  <w:endnote w:type="continuationSeparator" w:id="0">
    <w:p w14:paraId="013AF0F3" w14:textId="77777777" w:rsidR="0041148B" w:rsidRDefault="0041148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3666B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251D09AA" w14:textId="77777777" w:rsidR="001A0115" w:rsidRDefault="001A0115" w:rsidP="001A0115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6087CB9" w14:textId="77777777" w:rsidR="001A0115" w:rsidRDefault="001A0115" w:rsidP="001A0115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6EA5A75C" w14:textId="77777777" w:rsidR="00860074" w:rsidRPr="00860074" w:rsidRDefault="001A0115" w:rsidP="001A0115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REGON 017319027. Wysokość kapitału zakładowego w całości wpłaconego: 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5DD25" w14:textId="77777777" w:rsidR="0041148B" w:rsidRDefault="0041148B" w:rsidP="009D1AEB">
      <w:pPr>
        <w:spacing w:after="0" w:line="240" w:lineRule="auto"/>
      </w:pPr>
      <w:r>
        <w:separator/>
      </w:r>
    </w:p>
  </w:footnote>
  <w:footnote w:type="continuationSeparator" w:id="0">
    <w:p w14:paraId="39AA5047" w14:textId="77777777" w:rsidR="0041148B" w:rsidRDefault="0041148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4A01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A85D36" wp14:editId="6E0CC75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16749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E83E8A5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58104B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19DD2C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EAC7D1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A473F1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A4CDCB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1BCB751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78A85D3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3E16749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E83E8A5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58104B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19DD2C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EAC7D1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A473F1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A4CDCB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1BCB751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B485601" wp14:editId="211858E1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3851"/>
    <w:rsid w:val="000149B4"/>
    <w:rsid w:val="00023C45"/>
    <w:rsid w:val="00052E42"/>
    <w:rsid w:val="000602CB"/>
    <w:rsid w:val="00072424"/>
    <w:rsid w:val="00072994"/>
    <w:rsid w:val="000758D4"/>
    <w:rsid w:val="000A0ECD"/>
    <w:rsid w:val="000A3B2B"/>
    <w:rsid w:val="000B28F1"/>
    <w:rsid w:val="000C1151"/>
    <w:rsid w:val="000D3EC2"/>
    <w:rsid w:val="000D4320"/>
    <w:rsid w:val="000D4686"/>
    <w:rsid w:val="000F1E4F"/>
    <w:rsid w:val="00106CFB"/>
    <w:rsid w:val="001335D0"/>
    <w:rsid w:val="0014543B"/>
    <w:rsid w:val="00156F3A"/>
    <w:rsid w:val="00181E41"/>
    <w:rsid w:val="00191DED"/>
    <w:rsid w:val="001A0115"/>
    <w:rsid w:val="001A0D1E"/>
    <w:rsid w:val="001A0FA4"/>
    <w:rsid w:val="001B24C8"/>
    <w:rsid w:val="001C7863"/>
    <w:rsid w:val="001E0F55"/>
    <w:rsid w:val="001F232D"/>
    <w:rsid w:val="001F3200"/>
    <w:rsid w:val="001F7D36"/>
    <w:rsid w:val="00207F17"/>
    <w:rsid w:val="00231267"/>
    <w:rsid w:val="00236985"/>
    <w:rsid w:val="00260E09"/>
    <w:rsid w:val="00277762"/>
    <w:rsid w:val="00290E82"/>
    <w:rsid w:val="00291328"/>
    <w:rsid w:val="00292544"/>
    <w:rsid w:val="00292DC7"/>
    <w:rsid w:val="002A16AD"/>
    <w:rsid w:val="002B017D"/>
    <w:rsid w:val="002B3AE1"/>
    <w:rsid w:val="002D116A"/>
    <w:rsid w:val="002E3404"/>
    <w:rsid w:val="002F50E1"/>
    <w:rsid w:val="002F6767"/>
    <w:rsid w:val="00300D8C"/>
    <w:rsid w:val="00303B5A"/>
    <w:rsid w:val="00306C27"/>
    <w:rsid w:val="00341B9D"/>
    <w:rsid w:val="00357A92"/>
    <w:rsid w:val="003621C9"/>
    <w:rsid w:val="003645B2"/>
    <w:rsid w:val="00371D37"/>
    <w:rsid w:val="00376C3F"/>
    <w:rsid w:val="0039049E"/>
    <w:rsid w:val="0039370D"/>
    <w:rsid w:val="00394C06"/>
    <w:rsid w:val="0039595C"/>
    <w:rsid w:val="003A1670"/>
    <w:rsid w:val="003A44A5"/>
    <w:rsid w:val="003B525D"/>
    <w:rsid w:val="003C5E6C"/>
    <w:rsid w:val="003F5E5F"/>
    <w:rsid w:val="00401F21"/>
    <w:rsid w:val="0041148B"/>
    <w:rsid w:val="004159CA"/>
    <w:rsid w:val="00421617"/>
    <w:rsid w:val="00450285"/>
    <w:rsid w:val="00474334"/>
    <w:rsid w:val="004934F5"/>
    <w:rsid w:val="004A17DD"/>
    <w:rsid w:val="004E3D71"/>
    <w:rsid w:val="00505958"/>
    <w:rsid w:val="00531FF3"/>
    <w:rsid w:val="00535CDA"/>
    <w:rsid w:val="00541B5B"/>
    <w:rsid w:val="00567F1D"/>
    <w:rsid w:val="00570AB7"/>
    <w:rsid w:val="00590993"/>
    <w:rsid w:val="005943F9"/>
    <w:rsid w:val="005A243C"/>
    <w:rsid w:val="005A3CB3"/>
    <w:rsid w:val="005B1DC4"/>
    <w:rsid w:val="005B4730"/>
    <w:rsid w:val="005C0F40"/>
    <w:rsid w:val="005C478F"/>
    <w:rsid w:val="005C6B81"/>
    <w:rsid w:val="005E5A21"/>
    <w:rsid w:val="00607A57"/>
    <w:rsid w:val="00622F42"/>
    <w:rsid w:val="006239D7"/>
    <w:rsid w:val="006331ED"/>
    <w:rsid w:val="0063625B"/>
    <w:rsid w:val="006365C4"/>
    <w:rsid w:val="00671E21"/>
    <w:rsid w:val="00686E7C"/>
    <w:rsid w:val="006B0E61"/>
    <w:rsid w:val="006B1136"/>
    <w:rsid w:val="006C6C1C"/>
    <w:rsid w:val="006E00F9"/>
    <w:rsid w:val="007317F6"/>
    <w:rsid w:val="00742519"/>
    <w:rsid w:val="007534D3"/>
    <w:rsid w:val="0077527D"/>
    <w:rsid w:val="00777D9F"/>
    <w:rsid w:val="007C1108"/>
    <w:rsid w:val="007F0F98"/>
    <w:rsid w:val="007F3648"/>
    <w:rsid w:val="00807C04"/>
    <w:rsid w:val="00814172"/>
    <w:rsid w:val="00815D79"/>
    <w:rsid w:val="0081625D"/>
    <w:rsid w:val="0083684F"/>
    <w:rsid w:val="0085150F"/>
    <w:rsid w:val="00860074"/>
    <w:rsid w:val="008832CE"/>
    <w:rsid w:val="0088348C"/>
    <w:rsid w:val="00883510"/>
    <w:rsid w:val="0088595C"/>
    <w:rsid w:val="00890F3B"/>
    <w:rsid w:val="008B50A8"/>
    <w:rsid w:val="008B526C"/>
    <w:rsid w:val="008C3EDA"/>
    <w:rsid w:val="008D5441"/>
    <w:rsid w:val="008D57C9"/>
    <w:rsid w:val="008E7562"/>
    <w:rsid w:val="00903551"/>
    <w:rsid w:val="00906C33"/>
    <w:rsid w:val="00910895"/>
    <w:rsid w:val="00914E22"/>
    <w:rsid w:val="009156B5"/>
    <w:rsid w:val="0091640E"/>
    <w:rsid w:val="0092135D"/>
    <w:rsid w:val="00947584"/>
    <w:rsid w:val="00985E0A"/>
    <w:rsid w:val="0098703D"/>
    <w:rsid w:val="00990FF7"/>
    <w:rsid w:val="009924DF"/>
    <w:rsid w:val="009B2722"/>
    <w:rsid w:val="009D1AEB"/>
    <w:rsid w:val="009D1EBF"/>
    <w:rsid w:val="009D7C5F"/>
    <w:rsid w:val="009E09F9"/>
    <w:rsid w:val="00A05027"/>
    <w:rsid w:val="00A050AF"/>
    <w:rsid w:val="00A136D2"/>
    <w:rsid w:val="00A15AED"/>
    <w:rsid w:val="00A50313"/>
    <w:rsid w:val="00A61309"/>
    <w:rsid w:val="00A655C8"/>
    <w:rsid w:val="00A72B76"/>
    <w:rsid w:val="00A81BA1"/>
    <w:rsid w:val="00A85C39"/>
    <w:rsid w:val="00A90B6F"/>
    <w:rsid w:val="00A978EE"/>
    <w:rsid w:val="00AA51CB"/>
    <w:rsid w:val="00AE56CD"/>
    <w:rsid w:val="00AF5ABF"/>
    <w:rsid w:val="00B05DA7"/>
    <w:rsid w:val="00B1081D"/>
    <w:rsid w:val="00B41166"/>
    <w:rsid w:val="00B54E4C"/>
    <w:rsid w:val="00B5615C"/>
    <w:rsid w:val="00B648AA"/>
    <w:rsid w:val="00B85D97"/>
    <w:rsid w:val="00B90F0C"/>
    <w:rsid w:val="00B94265"/>
    <w:rsid w:val="00BB5E5E"/>
    <w:rsid w:val="00BC00C0"/>
    <w:rsid w:val="00BC4660"/>
    <w:rsid w:val="00BD1384"/>
    <w:rsid w:val="00BD74B2"/>
    <w:rsid w:val="00BF426A"/>
    <w:rsid w:val="00C239CE"/>
    <w:rsid w:val="00C35071"/>
    <w:rsid w:val="00C450DB"/>
    <w:rsid w:val="00C46713"/>
    <w:rsid w:val="00C77848"/>
    <w:rsid w:val="00C90AE2"/>
    <w:rsid w:val="00CA0FE7"/>
    <w:rsid w:val="00CA566B"/>
    <w:rsid w:val="00CB1184"/>
    <w:rsid w:val="00CD19E5"/>
    <w:rsid w:val="00CD4E47"/>
    <w:rsid w:val="00CE70E1"/>
    <w:rsid w:val="00CF3D6F"/>
    <w:rsid w:val="00CF535A"/>
    <w:rsid w:val="00D1109B"/>
    <w:rsid w:val="00D149FC"/>
    <w:rsid w:val="00D37E1F"/>
    <w:rsid w:val="00D533C3"/>
    <w:rsid w:val="00D538DA"/>
    <w:rsid w:val="00D55254"/>
    <w:rsid w:val="00D56C12"/>
    <w:rsid w:val="00D65529"/>
    <w:rsid w:val="00D70AD7"/>
    <w:rsid w:val="00D74A33"/>
    <w:rsid w:val="00D83231"/>
    <w:rsid w:val="00D85652"/>
    <w:rsid w:val="00D92774"/>
    <w:rsid w:val="00DA31FA"/>
    <w:rsid w:val="00DA6AFD"/>
    <w:rsid w:val="00DB2039"/>
    <w:rsid w:val="00DC129A"/>
    <w:rsid w:val="00DC2F6F"/>
    <w:rsid w:val="00DD56ED"/>
    <w:rsid w:val="00DE2A58"/>
    <w:rsid w:val="00DF4113"/>
    <w:rsid w:val="00E13559"/>
    <w:rsid w:val="00E1441D"/>
    <w:rsid w:val="00E204CB"/>
    <w:rsid w:val="00E738FB"/>
    <w:rsid w:val="00EA4FB3"/>
    <w:rsid w:val="00EC2E33"/>
    <w:rsid w:val="00EC2ED8"/>
    <w:rsid w:val="00ED2EC1"/>
    <w:rsid w:val="00EE778E"/>
    <w:rsid w:val="00F032E9"/>
    <w:rsid w:val="00F0640B"/>
    <w:rsid w:val="00F10097"/>
    <w:rsid w:val="00F16B83"/>
    <w:rsid w:val="00F324FA"/>
    <w:rsid w:val="00F33FD9"/>
    <w:rsid w:val="00F56DD5"/>
    <w:rsid w:val="00F77B6F"/>
    <w:rsid w:val="00F92440"/>
    <w:rsid w:val="00F9361F"/>
    <w:rsid w:val="00F96A93"/>
    <w:rsid w:val="00F978AA"/>
    <w:rsid w:val="00FA448D"/>
    <w:rsid w:val="00FC1052"/>
    <w:rsid w:val="00FC2434"/>
    <w:rsid w:val="00FC4DC9"/>
    <w:rsid w:val="00FC76EF"/>
    <w:rsid w:val="00FC78E2"/>
    <w:rsid w:val="00FD1223"/>
    <w:rsid w:val="00FD2F20"/>
    <w:rsid w:val="00FE4781"/>
    <w:rsid w:val="00FE60FF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DA99D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52E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luidplugincopy">
    <w:name w:val="fluidplugincopy"/>
    <w:basedOn w:val="Domylnaczcionkaakapitu"/>
    <w:rsid w:val="00BB5E5E"/>
  </w:style>
  <w:style w:type="character" w:customStyle="1" w:styleId="Nagwek3Znak">
    <w:name w:val="Nagłówek 3 Znak"/>
    <w:basedOn w:val="Domylnaczcionkaakapitu"/>
    <w:link w:val="Nagwek3"/>
    <w:uiPriority w:val="9"/>
    <w:rsid w:val="00052E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E4CB2-BB95-4CBD-A22D-9105F106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Będzie lepszy dostęp do kolei w Bydgoszczy</vt:lpstr>
    </vt:vector>
  </TitlesOfParts>
  <Company>PKP PLK S.A.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Będzie lepszy dostęp do kolei w Bydgoszczy</dc:title>
  <dc:subject/>
  <dc:creator>Przemyslaw.Zielinski2@plk-sa.pl</dc:creator>
  <cp:keywords/>
  <dc:description/>
  <cp:lastModifiedBy>Dudzińska Maria</cp:lastModifiedBy>
  <cp:revision>2</cp:revision>
  <dcterms:created xsi:type="dcterms:W3CDTF">2023-07-10T19:08:00Z</dcterms:created>
  <dcterms:modified xsi:type="dcterms:W3CDTF">2023-07-10T19:08:00Z</dcterms:modified>
</cp:coreProperties>
</file>