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66306" w:rsidRDefault="00266306" w:rsidP="009D1AEB">
      <w:pPr>
        <w:jc w:val="right"/>
        <w:rPr>
          <w:rFonts w:cs="Arial"/>
        </w:rPr>
      </w:pPr>
    </w:p>
    <w:p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595BEB">
        <w:rPr>
          <w:rFonts w:cs="Arial"/>
        </w:rPr>
        <w:t>14</w:t>
      </w:r>
      <w:r w:rsidR="00356B18">
        <w:rPr>
          <w:rFonts w:cs="Arial"/>
        </w:rPr>
        <w:t xml:space="preserve"> </w:t>
      </w:r>
      <w:r w:rsidR="00266306">
        <w:rPr>
          <w:rFonts w:cs="Arial"/>
        </w:rPr>
        <w:t>grudnia</w:t>
      </w:r>
      <w:r w:rsidR="00356B1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595BEB" w:rsidRPr="00595BEB" w:rsidRDefault="00595BEB" w:rsidP="00C20F9D">
      <w:pPr>
        <w:pStyle w:val="Nagwek1"/>
        <w:spacing w:before="100" w:beforeAutospacing="1" w:after="100" w:afterAutospacing="1" w:line="360" w:lineRule="auto"/>
      </w:pPr>
      <w:r w:rsidRPr="00595BEB">
        <w:t>Fundusze UE: Przebudowa Warszawskiego Węzła Kolejowego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595BEB">
        <w:rPr>
          <w:rFonts w:cs="Arial"/>
          <w:b/>
        </w:rPr>
        <w:t>PKP Polskie Linie Kolejowe S.A. podpisały z Centrum Unijnych Projektów Transportowych umowę o dofinansowanie dla projektu "Prace na linii średnicowej w Warszawie na odcinku Warszawa Wschodnia – Warszawa Zachodnia, etap I".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</w:rPr>
        <w:t xml:space="preserve">Zgodnie z postanowieniami zawartej umowy o dofinansowanie dla projektu "Prace na linii średnicowej w Warszawie na odcinku Warszawa Wschodnia – Warszawa Zachodnia, etap I", </w:t>
      </w:r>
      <w:r w:rsidRPr="00B44CF4">
        <w:rPr>
          <w:rFonts w:cs="Arial"/>
        </w:rPr>
        <w:t>wartość zaplanowanej inwestycji wyniesie ponad 1,3 mld złotych. Inwestycja zostanie sfinansowana ze środków unijnych</w:t>
      </w:r>
      <w:r w:rsidRPr="00595BEB">
        <w:rPr>
          <w:rFonts w:cs="Arial"/>
        </w:rPr>
        <w:t xml:space="preserve"> w ramach Programu Operacyjnego Infrastruktura i Środowisko.</w:t>
      </w:r>
    </w:p>
    <w:p w:rsidR="00595BEB" w:rsidRPr="00B44CF4" w:rsidRDefault="00C20F9D" w:rsidP="00C20F9D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>
        <w:rPr>
          <w:rFonts w:cs="Arial"/>
          <w:b/>
          <w:bCs/>
          <w:i/>
          <w:iCs/>
          <w:sz w:val="24"/>
          <w:szCs w:val="24"/>
        </w:rPr>
        <w:t>–</w:t>
      </w:r>
      <w:r w:rsidR="00B44CF4">
        <w:rPr>
          <w:rFonts w:cs="Arial"/>
          <w:b/>
          <w:i/>
        </w:rPr>
        <w:t xml:space="preserve"> </w:t>
      </w:r>
      <w:r w:rsidR="00595BEB" w:rsidRPr="00B44CF4">
        <w:rPr>
          <w:rFonts w:cs="Arial"/>
          <w:b/>
          <w:i/>
        </w:rPr>
        <w:t>Rozwój infrastruktury transportowej jest jednym z celów Programu Operacyjnego Infrastruktura i Środowisko dlatego jako CUPT kompleksowo wspieramy beneficjentów w ich realizacji, w tym PKP Polskie Linie Kolejowe S.A., który zmodernizuje kolejne stacje kolejowe. Dzięki środkom z Unii Europejskiej polski  transport staje się bardziej nowoczesny, bezpieczny i komfortowy, co odczuwa każdy obywatel Polski</w:t>
      </w:r>
      <w:r w:rsidR="00595BEB" w:rsidRPr="00B44CF4">
        <w:rPr>
          <w:rFonts w:cs="Arial"/>
          <w:b/>
        </w:rPr>
        <w:t xml:space="preserve"> – mówi </w:t>
      </w:r>
      <w:r w:rsidR="00B44CF4" w:rsidRPr="00B44CF4">
        <w:rPr>
          <w:rFonts w:cs="Arial"/>
          <w:b/>
        </w:rPr>
        <w:t>Joanna Lech, d</w:t>
      </w:r>
      <w:r w:rsidR="00595BEB" w:rsidRPr="00B44CF4">
        <w:rPr>
          <w:rFonts w:cs="Arial"/>
          <w:b/>
        </w:rPr>
        <w:t>yrektor Centrum Unijnych Projektów Transportowych.</w:t>
      </w:r>
    </w:p>
    <w:p w:rsidR="00595BEB" w:rsidRDefault="00595BEB" w:rsidP="00C20F9D">
      <w:pPr>
        <w:spacing w:before="100" w:beforeAutospacing="1" w:after="100" w:afterAutospacing="1" w:line="360" w:lineRule="auto"/>
        <w:rPr>
          <w:rFonts w:cs="Arial"/>
          <w:b/>
          <w:bCs/>
          <w:i/>
          <w:iCs/>
          <w:sz w:val="24"/>
          <w:szCs w:val="24"/>
        </w:rPr>
      </w:pPr>
      <w:r>
        <w:rPr>
          <w:rFonts w:cs="Arial"/>
          <w:b/>
          <w:bCs/>
          <w:i/>
          <w:iCs/>
          <w:sz w:val="24"/>
          <w:szCs w:val="24"/>
        </w:rPr>
        <w:t xml:space="preserve">– PKP Polskie Linie Kolejowe S.A. efektywnie wykorzystują środki unijne i budżetowe, aby dzięki nim kompleksowo rozwijała się sieć kolejowa. Modernizacja ważnych odcinków linii oraz stacji zwiesza rolę kolei. Dzięki środkom z Unii Europejskiej będziemy mogli uzyskać refundację już poniesionych wydatków na prace na stacjach Warszawa Główna, Warszawa Gdańska i Warszawa Zachodnia – </w:t>
      </w:r>
      <w:bookmarkStart w:id="0" w:name="_GoBack"/>
      <w:r w:rsidRPr="00E45324">
        <w:rPr>
          <w:rFonts w:cs="Arial"/>
          <w:b/>
          <w:bCs/>
          <w:iCs/>
          <w:sz w:val="24"/>
          <w:szCs w:val="24"/>
        </w:rPr>
        <w:t xml:space="preserve">mówi Arnold Bresch, członek Zarządu PKP Polskich Linii Kolejowych S.A. </w:t>
      </w:r>
      <w:bookmarkEnd w:id="0"/>
    </w:p>
    <w:p w:rsidR="00595BEB" w:rsidRPr="00595BEB" w:rsidRDefault="00595BEB" w:rsidP="00C20F9D">
      <w:pPr>
        <w:pStyle w:val="Nagwek2"/>
        <w:spacing w:before="100" w:beforeAutospacing="1" w:after="100" w:afterAutospacing="1" w:line="360" w:lineRule="auto"/>
      </w:pPr>
      <w:r w:rsidRPr="00595BEB">
        <w:t>Warszawski Węzeł Kolejowy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</w:rPr>
        <w:t>Projekt jest zlokalizowany na obszarze województwa mazowieckiego w obszarze Warszawskiego Węzła Kolejowego (“WWK”) na linii średnicowej.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</w:rPr>
        <w:lastRenderedPageBreak/>
        <w:t>WWK jest  istotnym elementem infrastruktury kolejowej w skali Polski, jak i Europy. Kluczowym elementem WWK jest linia średnicowa obejmująca odcinek linii kolejowych pomiędzy stacjami Warszawa Zachodnia i Warszawa Wschodnia, przebiegająca częściowo tunelem średnicowym przez ścisłe centrum Warszawy. Linia średnicowa jest podzielona na część dalekobieżną i podmiejską. Na linii średnicowej prowadzony jest wyłącznie ruch pasażerski.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</w:rPr>
        <w:t>Projekt stanowi część następujących korytarzy transportowych TEN-T: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Morze Bałtyckie – Morze Adriatyckie;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Morze Północne – Morze Bałtyckie.</w:t>
      </w:r>
    </w:p>
    <w:p w:rsidR="00595BEB" w:rsidRPr="00595BEB" w:rsidRDefault="00B44CF4" w:rsidP="00C20F9D">
      <w:pPr>
        <w:pStyle w:val="Nagwek2"/>
        <w:spacing w:before="100" w:beforeAutospacing="1" w:after="100" w:afterAutospacing="1" w:line="360" w:lineRule="auto"/>
      </w:pPr>
      <w:r>
        <w:t>Likwidacja n</w:t>
      </w:r>
      <w:r w:rsidR="00595BEB" w:rsidRPr="00595BEB">
        <w:t>iedogodności na linii średnicowej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</w:rPr>
        <w:t>Inwestycja jest odpowiedzią na zidentyfikowane na linii średnicowej niegodności, czyli m.in.: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W godzinie szczytowej notowane są przekroczenia zdolności przepustowej, obliczonej zgodnie z wytycznymi karty UIC406 dla granicznego czasu zajętości infrastruktury.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Brak separacji ruchu aglomeracyjnego od dalekobieżnego na stacjach Warszawa Zachodnia i Warszawa Wschodnia, co powoduje niedogodności dla pasażerów oraz kolizyjne trasy wylotowe z linii średnicowej.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Brak wystarczającej ilości krawędzi peronowych.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Niedostosowanie lokalizacji przystanków do potrzeb mieszkańców (konieczność budowy nowych).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Niska prędkość jazd po głowicach rozjazdowych.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Kolizyjność jazdy pociągów; ograniczone możliwości elastycznego reagowania na perturbacje ruchowe i minimalizacje opóźnień.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Utrudnione ruchy manewrowe pociągów.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Niewykorzystany potencjał obszaru byłej stacji Warszawa Główna.</w:t>
      </w:r>
    </w:p>
    <w:p w:rsidR="00595BEB" w:rsidRPr="00B44CF4" w:rsidRDefault="00595BEB" w:rsidP="00C20F9D">
      <w:pPr>
        <w:pStyle w:val="Nagwek2"/>
      </w:pPr>
      <w:r w:rsidRPr="00B44CF4">
        <w:t xml:space="preserve">Projekt przewiduje: 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 xml:space="preserve">przebudowę 2 stacji (Warszawa Zachodnia i Warszawa Główna); 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 xml:space="preserve">budowę 2 wiaduktów; 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 xml:space="preserve">przebudowę 2 wiaduktów; 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 xml:space="preserve">budowę 4 kładek dla pieszych; </w:t>
      </w:r>
    </w:p>
    <w:p w:rsidR="00595BEB" w:rsidRPr="00595BEB" w:rsidRDefault="00595BEB" w:rsidP="00C20F9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567" w:hanging="207"/>
        <w:jc w:val="both"/>
        <w:rPr>
          <w:rFonts w:cs="Arial"/>
        </w:rPr>
      </w:pPr>
      <w:r w:rsidRPr="00595BEB">
        <w:rPr>
          <w:rFonts w:cs="Arial"/>
        </w:rPr>
        <w:t>przebudowę 1 przejścia podziemnego dla pieszych.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</w:rPr>
        <w:t>Zgodnie z założeniami łączna długość odcinków objętych projektem wynosi 20,449 km, z czego w TEN-T 12,275 km.</w:t>
      </w:r>
      <w:r w:rsidR="00B44CF4">
        <w:rPr>
          <w:rFonts w:cs="Arial"/>
        </w:rPr>
        <w:t xml:space="preserve"> </w:t>
      </w:r>
      <w:r w:rsidRPr="00595BEB">
        <w:rPr>
          <w:rFonts w:cs="Arial"/>
        </w:rPr>
        <w:t xml:space="preserve">Dodatkowo projekt obejmuje dostosowanie stacji Warszawa Gdańska do obsługi zwiększonej liczby podróżnych. 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  <w:b/>
        </w:rPr>
        <w:lastRenderedPageBreak/>
        <w:t>Numer i nazwa projektu:</w:t>
      </w:r>
      <w:r w:rsidRPr="00595BEB">
        <w:rPr>
          <w:rFonts w:cs="Arial"/>
        </w:rPr>
        <w:t xml:space="preserve"> POIS.05.01.00-00-0044/22-00 "Prace na linii średnicowej w Warszawie na odcinku Warszawa Wschodnia – Warszawa Zachodnia, etap I"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  <w:b/>
        </w:rPr>
        <w:t>Oś priorytetowa i działanie:</w:t>
      </w:r>
      <w:r w:rsidRPr="00595BEB">
        <w:rPr>
          <w:rFonts w:cs="Arial"/>
        </w:rPr>
        <w:t xml:space="preserve"> Działania 5.1 Rozwój transportu kolejowego sieci TEN-T w ramach osi priorytetowej V: Rozwój transportu kolejowego w Polsce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595BEB">
        <w:rPr>
          <w:rFonts w:cs="Arial"/>
          <w:b/>
        </w:rPr>
        <w:t>Wartość całkowita: 2 639 584 830,86 PLN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595BEB">
        <w:rPr>
          <w:rFonts w:cs="Arial"/>
          <w:b/>
        </w:rPr>
        <w:t>Wartość kwalifikowalna:</w:t>
      </w:r>
      <w:r w:rsidRPr="00595BEB">
        <w:rPr>
          <w:rFonts w:cs="Arial"/>
        </w:rPr>
        <w:t xml:space="preserve"> 1 586 817 305,55 PLN</w:t>
      </w:r>
    </w:p>
    <w:p w:rsidR="00595BEB" w:rsidRPr="00595BEB" w:rsidRDefault="00595BEB" w:rsidP="00C20F9D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595BEB">
        <w:rPr>
          <w:rFonts w:cs="Arial"/>
          <w:b/>
        </w:rPr>
        <w:t>Wartość dofinansowania UE: 1 348 794 709,71 PLN</w:t>
      </w:r>
    </w:p>
    <w:p w:rsidR="00B44CF4" w:rsidRDefault="00B44CF4" w:rsidP="00B44CF4">
      <w:pPr>
        <w:spacing w:after="0" w:line="240" w:lineRule="auto"/>
        <w:rPr>
          <w:rStyle w:val="Pogrubienie"/>
          <w:rFonts w:cs="Arial"/>
        </w:rPr>
      </w:pPr>
    </w:p>
    <w:p w:rsidR="007F3648" w:rsidRDefault="007F3648" w:rsidP="00C20F9D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595BEB" w:rsidP="00C20F9D">
      <w:pPr>
        <w:spacing w:after="0" w:line="360" w:lineRule="auto"/>
      </w:pPr>
      <w:r>
        <w:t>Mirosław Siemieniec</w:t>
      </w:r>
      <w:r w:rsidR="00A15AED" w:rsidRPr="007F3648">
        <w:br/>
      </w:r>
      <w:r>
        <w:t xml:space="preserve">rzecznik </w:t>
      </w:r>
      <w:r w:rsidR="00A15AED" w:rsidRPr="007F3648">
        <w:t>prasowy</w:t>
      </w:r>
      <w:r w:rsidR="00356B18" w:rsidRPr="00356B18">
        <w:rPr>
          <w:rStyle w:val="Pogrubienie"/>
          <w:rFonts w:cs="Arial"/>
        </w:rPr>
        <w:t xml:space="preserve"> </w:t>
      </w:r>
      <w:r w:rsidR="00356B18">
        <w:rPr>
          <w:rStyle w:val="Pogrubienie"/>
          <w:rFonts w:cs="Arial"/>
        </w:rPr>
        <w:br/>
      </w:r>
      <w:r w:rsidR="00356B18"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356B18">
        <w:br/>
        <w:t xml:space="preserve">T: </w:t>
      </w:r>
      <w:r w:rsidR="00A15AED" w:rsidRPr="007F3648">
        <w:t>+48</w:t>
      </w:r>
      <w:r w:rsidR="00356B18">
        <w:t> 668 679 414</w:t>
      </w:r>
    </w:p>
    <w:p w:rsidR="00C22107" w:rsidRPr="009C1095" w:rsidRDefault="00C22107" w:rsidP="00595BEB">
      <w:pPr>
        <w:spacing w:after="0" w:line="360" w:lineRule="auto"/>
        <w:rPr>
          <w:rFonts w:cs="Arial"/>
        </w:rPr>
      </w:pP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EE" w:rsidRDefault="00D908EE" w:rsidP="009D1AEB">
      <w:pPr>
        <w:spacing w:after="0" w:line="240" w:lineRule="auto"/>
      </w:pPr>
      <w:r>
        <w:separator/>
      </w:r>
    </w:p>
  </w:endnote>
  <w:endnote w:type="continuationSeparator" w:id="0">
    <w:p w:rsidR="00D908EE" w:rsidRDefault="00D908E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32290"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EE" w:rsidRDefault="00D908EE" w:rsidP="009D1AEB">
      <w:pPr>
        <w:spacing w:after="0" w:line="240" w:lineRule="auto"/>
      </w:pPr>
      <w:r>
        <w:separator/>
      </w:r>
    </w:p>
  </w:footnote>
  <w:footnote w:type="continuationSeparator" w:id="0">
    <w:p w:rsidR="00D908EE" w:rsidRDefault="00D908E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6045B10"/>
    <w:multiLevelType w:val="hybridMultilevel"/>
    <w:tmpl w:val="B17EBD9A"/>
    <w:lvl w:ilvl="0" w:tplc="57DCFCF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61158"/>
    <w:rsid w:val="000F3852"/>
    <w:rsid w:val="00141210"/>
    <w:rsid w:val="00165426"/>
    <w:rsid w:val="00184B45"/>
    <w:rsid w:val="00192E2A"/>
    <w:rsid w:val="001C3BAD"/>
    <w:rsid w:val="00236985"/>
    <w:rsid w:val="0026076F"/>
    <w:rsid w:val="00266306"/>
    <w:rsid w:val="00277762"/>
    <w:rsid w:val="00291328"/>
    <w:rsid w:val="0029545E"/>
    <w:rsid w:val="002D6184"/>
    <w:rsid w:val="002F6767"/>
    <w:rsid w:val="00351CDA"/>
    <w:rsid w:val="00353F16"/>
    <w:rsid w:val="00356B18"/>
    <w:rsid w:val="003A1BDD"/>
    <w:rsid w:val="003E75EA"/>
    <w:rsid w:val="004755D1"/>
    <w:rsid w:val="00482430"/>
    <w:rsid w:val="00491D0E"/>
    <w:rsid w:val="004F5B60"/>
    <w:rsid w:val="00546E98"/>
    <w:rsid w:val="00550532"/>
    <w:rsid w:val="00595BEB"/>
    <w:rsid w:val="005B5091"/>
    <w:rsid w:val="005F53BE"/>
    <w:rsid w:val="0063625B"/>
    <w:rsid w:val="0064524E"/>
    <w:rsid w:val="00657443"/>
    <w:rsid w:val="006A464F"/>
    <w:rsid w:val="006C6C1C"/>
    <w:rsid w:val="006D06BA"/>
    <w:rsid w:val="006F2DD6"/>
    <w:rsid w:val="006F542E"/>
    <w:rsid w:val="0071127A"/>
    <w:rsid w:val="00732290"/>
    <w:rsid w:val="00782065"/>
    <w:rsid w:val="00785FAD"/>
    <w:rsid w:val="007C4ABE"/>
    <w:rsid w:val="007F3648"/>
    <w:rsid w:val="008019F6"/>
    <w:rsid w:val="00850608"/>
    <w:rsid w:val="00860074"/>
    <w:rsid w:val="008747DA"/>
    <w:rsid w:val="0092140D"/>
    <w:rsid w:val="00923F6C"/>
    <w:rsid w:val="00935828"/>
    <w:rsid w:val="00997496"/>
    <w:rsid w:val="009C1095"/>
    <w:rsid w:val="009D1AEB"/>
    <w:rsid w:val="00A15AED"/>
    <w:rsid w:val="00A4187C"/>
    <w:rsid w:val="00A86F5F"/>
    <w:rsid w:val="00AA7042"/>
    <w:rsid w:val="00AC2669"/>
    <w:rsid w:val="00AE487D"/>
    <w:rsid w:val="00B44CF4"/>
    <w:rsid w:val="00B86852"/>
    <w:rsid w:val="00BB01BA"/>
    <w:rsid w:val="00BD453E"/>
    <w:rsid w:val="00BD5281"/>
    <w:rsid w:val="00BD6CC4"/>
    <w:rsid w:val="00C11A85"/>
    <w:rsid w:val="00C20F9D"/>
    <w:rsid w:val="00C22107"/>
    <w:rsid w:val="00CB1774"/>
    <w:rsid w:val="00CE187F"/>
    <w:rsid w:val="00D149FC"/>
    <w:rsid w:val="00D267E6"/>
    <w:rsid w:val="00D74420"/>
    <w:rsid w:val="00D908EE"/>
    <w:rsid w:val="00D91827"/>
    <w:rsid w:val="00DC4C4E"/>
    <w:rsid w:val="00E45324"/>
    <w:rsid w:val="00E64ED3"/>
    <w:rsid w:val="00EA6853"/>
    <w:rsid w:val="00EB4DC7"/>
    <w:rsid w:val="00EC464F"/>
    <w:rsid w:val="00ED48BE"/>
    <w:rsid w:val="00EF345E"/>
    <w:rsid w:val="00F415F5"/>
    <w:rsid w:val="00F638E3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0DBA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CF14-AC21-4AF3-937A-4D1CBA0E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Fundusze UE: Przebudowa Warszawskiego Węzła Kolejowego</vt:lpstr>
    </vt:vector>
  </TitlesOfParts>
  <Company>PKP PLK S.A.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Fundusze UE: Przebudowa Warszawskiego Węzła Kolejowego</dc:title>
  <dc:subject/>
  <dc:creator>PKP Polskie Linie Koljowe S.A.</dc:creator>
  <cp:keywords/>
  <dc:description/>
  <cp:lastModifiedBy>Dudzińska Maria</cp:lastModifiedBy>
  <cp:revision>3</cp:revision>
  <cp:lastPrinted>2022-11-18T07:30:00Z</cp:lastPrinted>
  <dcterms:created xsi:type="dcterms:W3CDTF">2022-12-14T12:49:00Z</dcterms:created>
  <dcterms:modified xsi:type="dcterms:W3CDTF">2022-12-14T12:49:00Z</dcterms:modified>
</cp:coreProperties>
</file>