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14F6420E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5A0778">
        <w:rPr>
          <w:rFonts w:cs="Arial"/>
        </w:rPr>
        <w:t xml:space="preserve"> </w:t>
      </w:r>
      <w:r w:rsidR="006A61B9">
        <w:rPr>
          <w:rFonts w:cs="Arial"/>
        </w:rPr>
        <w:t>1 lutego</w:t>
      </w:r>
      <w:r w:rsidR="000602CB" w:rsidRPr="00CD4E47">
        <w:rPr>
          <w:rFonts w:cs="Arial"/>
        </w:rPr>
        <w:t xml:space="preserve"> </w:t>
      </w:r>
      <w:r w:rsidR="009A2226">
        <w:rPr>
          <w:rFonts w:cs="Arial"/>
        </w:rPr>
        <w:t>2024</w:t>
      </w:r>
      <w:r w:rsidRPr="003D74BF">
        <w:rPr>
          <w:rFonts w:cs="Arial"/>
        </w:rPr>
        <w:t xml:space="preserve"> r.</w:t>
      </w:r>
    </w:p>
    <w:p w14:paraId="70F8B4D6" w14:textId="2C799F23" w:rsidR="005943F9" w:rsidRPr="00B648AA" w:rsidRDefault="00932B11" w:rsidP="005D72A6">
      <w:pPr>
        <w:pStyle w:val="Nagwek1"/>
        <w:spacing w:before="0" w:after="160" w:line="360" w:lineRule="auto"/>
      </w:pPr>
      <w:r>
        <w:t>Grudziądz: lepszy dostęp do kolei i sprawne podróże pociągiem po wyremontowanym moście</w:t>
      </w:r>
    </w:p>
    <w:p w14:paraId="7174CFEA" w14:textId="2F167F7D" w:rsidR="005D72A6" w:rsidRPr="00BB0F20" w:rsidRDefault="00932B11" w:rsidP="00BB0F20">
      <w:pPr>
        <w:spacing w:line="360" w:lineRule="auto"/>
        <w:rPr>
          <w:b/>
          <w:bCs/>
        </w:rPr>
      </w:pPr>
      <w:r w:rsidRPr="00BB0F20">
        <w:rPr>
          <w:b/>
          <w:bCs/>
        </w:rPr>
        <w:t xml:space="preserve">Podróżni wsiadają do pociągów z nowego przystanku Grudziądz Śródmieście, który ułatwił dostęp do kolei m. in. w kierunku Bydgoszczy. Postęp prac remontowych umożliwił powrót pociągów na most kolejowo-drogowy przez Wisłę. PKP Polskie Linie Kolejowe S.A. realizują inwestycje na terenie miasta ze środków budżetowych oraz w ramach „Rządowego programu budowy lub modernizacji przystanków kolejowych na lata 2021-2025” o łącznej wartości </w:t>
      </w:r>
      <w:r w:rsidR="001B3671" w:rsidRPr="00BB0F20">
        <w:rPr>
          <w:b/>
          <w:bCs/>
        </w:rPr>
        <w:t>ponad 57</w:t>
      </w:r>
      <w:r w:rsidRPr="00BB0F20">
        <w:rPr>
          <w:b/>
          <w:bCs/>
        </w:rPr>
        <w:t xml:space="preserve"> mln zł netto.   </w:t>
      </w:r>
    </w:p>
    <w:p w14:paraId="4BAD0EFB" w14:textId="29C2B96C" w:rsidR="005D6C58" w:rsidRPr="00D5268D" w:rsidRDefault="00932B11" w:rsidP="00BB0F20">
      <w:pPr>
        <w:spacing w:line="360" w:lineRule="auto"/>
        <w:rPr>
          <w:b/>
        </w:rPr>
      </w:pPr>
      <w:r w:rsidRPr="00D5268D">
        <w:t xml:space="preserve">We wtorek, 1 lutego, podróżnym został udostępniony nowy przystanek Grudziądz Śródmieście na linii kolejowej nr 208 Działdowo – Chojnice. Przystanek, usytuowany w sąsiedztwie wiaduktu drogowego </w:t>
      </w:r>
      <w:r w:rsidR="00896F4D" w:rsidRPr="00D5268D">
        <w:t>w ciągu</w:t>
      </w:r>
      <w:r w:rsidRPr="00D5268D">
        <w:t xml:space="preserve"> ul. Chełmińskiej, zapewnia lepszy dostęp do kolei w kierunku Laskowic Pomorskich i Bydgoszczy oraz do stacji Grudziądz i Brodnicy. Z wysokiego peronu można wygodnie wsiąść do pociągu. </w:t>
      </w:r>
      <w:r w:rsidR="00AA07F1" w:rsidRPr="00D5268D">
        <w:t xml:space="preserve">Dla osób o ograniczonych możliwościach poruszania się przygotowano wygodne dojście i antypoślizgową nawierzchnię ze ścieżkami naprowadzającymi. Jest wiata, ławki, gabloty informacyjne z rozkładem jazdy i czytelne oznakowanie. Zamontowano także jasne, energooszczędne oświetlenie. Prace kosztowały </w:t>
      </w:r>
      <w:r w:rsidR="00010F04">
        <w:t xml:space="preserve">około </w:t>
      </w:r>
      <w:r w:rsidR="00D5268D" w:rsidRPr="00D5268D">
        <w:t>2,7</w:t>
      </w:r>
      <w:r w:rsidR="00AA07F1" w:rsidRPr="00D5268D">
        <w:t xml:space="preserve"> mln zł netto i pochodziły ze środków „Rządowego programu budowy lub modernizacji przystanków kolejowych na lata 2021-2025”.</w:t>
      </w:r>
    </w:p>
    <w:p w14:paraId="1374862D" w14:textId="240865C7" w:rsidR="00325E9D" w:rsidRPr="00D5268D" w:rsidRDefault="005D6C58" w:rsidP="00BB0F20">
      <w:pPr>
        <w:spacing w:line="360" w:lineRule="auto"/>
        <w:rPr>
          <w:b/>
        </w:rPr>
      </w:pPr>
      <w:r w:rsidRPr="00D5268D">
        <w:t>Również od 1 lutego wróciły pociągi na remontowany most kolejowo-drogowy przez Wisłę w Grudziądzu.</w:t>
      </w:r>
      <w:r w:rsidR="00325E9D" w:rsidRPr="00D5268D">
        <w:t xml:space="preserve"> Ze względu na zakres prac</w:t>
      </w:r>
      <w:r w:rsidR="00896F4D" w:rsidRPr="00D5268D">
        <w:t>,</w:t>
      </w:r>
      <w:r w:rsidR="00325E9D" w:rsidRPr="00D5268D">
        <w:t xml:space="preserve"> od marca 2023 r.</w:t>
      </w:r>
      <w:r w:rsidR="00896F4D" w:rsidRPr="00D5268D">
        <w:t>,</w:t>
      </w:r>
      <w:r w:rsidR="00325E9D" w:rsidRPr="00D5268D">
        <w:t xml:space="preserve"> na odcinku Grudziądz – Dragacz obowiązywała zastępcza komunikacja autobusowa.</w:t>
      </w:r>
      <w:r w:rsidRPr="00D5268D">
        <w:t xml:space="preserve"> To najdłuższy tego typu obiekt w kraju liczący blisko 1100 metrów. </w:t>
      </w:r>
      <w:r w:rsidR="00325E9D" w:rsidRPr="00D5268D">
        <w:t xml:space="preserve">Zakończono prace związane z zabezpieczeniem antykorozyjnym konstrukcji stalowej przęseł </w:t>
      </w:r>
      <w:r w:rsidR="00D5268D" w:rsidRPr="00D5268D">
        <w:t xml:space="preserve">pod nawierzchnią kolejową </w:t>
      </w:r>
      <w:r w:rsidR="00325E9D" w:rsidRPr="00D5268D">
        <w:t xml:space="preserve">oraz z naprawą lub </w:t>
      </w:r>
      <w:r w:rsidR="00D5268D" w:rsidRPr="00D5268D">
        <w:t>wymianą</w:t>
      </w:r>
      <w:r w:rsidR="00325E9D" w:rsidRPr="00D5268D">
        <w:t xml:space="preserve"> uszkodzonych elementów. Wy</w:t>
      </w:r>
      <w:r w:rsidR="007178D9">
        <w:t xml:space="preserve">mieniono </w:t>
      </w:r>
      <w:r w:rsidR="00325E9D" w:rsidRPr="00D5268D">
        <w:t>szyny, podkłady i m</w:t>
      </w:r>
      <w:r w:rsidR="00D5268D" w:rsidRPr="00D5268D">
        <w:t>ostow</w:t>
      </w:r>
      <w:r w:rsidR="007178D9">
        <w:t>nice</w:t>
      </w:r>
      <w:r w:rsidR="00D5268D" w:rsidRPr="00D5268D">
        <w:t xml:space="preserve"> oraz chodniki robocze</w:t>
      </w:r>
      <w:r w:rsidR="00325E9D" w:rsidRPr="00D5268D">
        <w:t>. Aktualnie pr</w:t>
      </w:r>
      <w:r w:rsidR="00D5268D" w:rsidRPr="00D5268D">
        <w:t xml:space="preserve">owadzone są prace wykończeniowe, </w:t>
      </w:r>
      <w:r w:rsidR="008267CE">
        <w:t>które nie mają wpływu na ruch pociągów</w:t>
      </w:r>
      <w:r w:rsidR="00325E9D" w:rsidRPr="00D5268D">
        <w:t xml:space="preserve">. Ich zakończenie planowane jest na </w:t>
      </w:r>
      <w:r w:rsidR="00D5268D" w:rsidRPr="00D5268D">
        <w:t>koniec marca br</w:t>
      </w:r>
      <w:r w:rsidR="00325E9D" w:rsidRPr="00D5268D">
        <w:t xml:space="preserve">. Koszt robót to ponad 47 mln zł netto ze środków budżetowych PLK S.A. Po zakończeniu wszystkich prac pociągi pojadą grudziądzkim mostem z prędkością do 80 km/h (przed remontem do 50 km/h). </w:t>
      </w:r>
    </w:p>
    <w:p w14:paraId="075D3E5F" w14:textId="1B6C062B" w:rsidR="00BD66B1" w:rsidRPr="00BD66B1" w:rsidRDefault="00BD66B1" w:rsidP="00BB0F20">
      <w:pPr>
        <w:pStyle w:val="Nagwek2"/>
      </w:pPr>
      <w:r w:rsidRPr="00BD66B1">
        <w:lastRenderedPageBreak/>
        <w:t>Program Przystankowy w Grudziądzu</w:t>
      </w:r>
    </w:p>
    <w:p w14:paraId="12EC5420" w14:textId="5899ED23" w:rsidR="005A0778" w:rsidRDefault="00BD66B1" w:rsidP="005D72A6">
      <w:pPr>
        <w:spacing w:line="360" w:lineRule="auto"/>
        <w:rPr>
          <w:rFonts w:cs="Arial"/>
        </w:rPr>
      </w:pPr>
      <w:r>
        <w:t xml:space="preserve">Nowy przystanek </w:t>
      </w:r>
      <w:r w:rsidRPr="00BD66B1">
        <w:rPr>
          <w:b/>
        </w:rPr>
        <w:t>Grudziądz Śródmieście</w:t>
      </w:r>
      <w:r>
        <w:t xml:space="preserve"> to jedna z czterech inwestycji na terenie miasta realizowanych ze środków </w:t>
      </w:r>
      <w:r w:rsidRPr="00BD66B1">
        <w:t>„Rządowego programu budowy lub modernizacji przystanków kolejowych na lata 2021-2025”.</w:t>
      </w:r>
      <w:r>
        <w:t xml:space="preserve"> Od grudnia 2023 r. podróżni korzystają z przystanku </w:t>
      </w:r>
      <w:r w:rsidRPr="00BD66B1">
        <w:rPr>
          <w:b/>
        </w:rPr>
        <w:t>Grudziądz Tuszewo</w:t>
      </w:r>
      <w:r>
        <w:rPr>
          <w:b/>
        </w:rPr>
        <w:t xml:space="preserve"> </w:t>
      </w:r>
      <w:r w:rsidRPr="00341E50">
        <w:rPr>
          <w:rFonts w:eastAsia="Calibri" w:cs="Arial"/>
        </w:rPr>
        <w:t>(linia kolejowa nr 207 Toruń Wschodni – Malbork)</w:t>
      </w:r>
      <w:r>
        <w:t xml:space="preserve">, </w:t>
      </w:r>
      <w:r w:rsidRPr="00BD66B1">
        <w:rPr>
          <w:rFonts w:cs="Arial"/>
        </w:rPr>
        <w:t>który</w:t>
      </w:r>
      <w:r>
        <w:rPr>
          <w:rFonts w:cs="Arial"/>
          <w:b/>
        </w:rPr>
        <w:t xml:space="preserve"> </w:t>
      </w:r>
      <w:r w:rsidR="005A0778">
        <w:rPr>
          <w:rFonts w:cs="Arial"/>
        </w:rPr>
        <w:t xml:space="preserve">zwiększył możliwości </w:t>
      </w:r>
      <w:r w:rsidR="005A0778">
        <w:t xml:space="preserve">podróży </w:t>
      </w:r>
      <w:r w:rsidR="005A0778" w:rsidRPr="00F032E9">
        <w:rPr>
          <w:rFonts w:cs="Arial"/>
        </w:rPr>
        <w:t>w kierunku Kwidzyna, Malborka oraz Trójmiasta</w:t>
      </w:r>
      <w:r w:rsidR="005A0778">
        <w:rPr>
          <w:rFonts w:cs="Arial"/>
        </w:rPr>
        <w:t xml:space="preserve">. </w:t>
      </w:r>
      <w:r>
        <w:rPr>
          <w:rFonts w:cs="Arial"/>
        </w:rPr>
        <w:t>Peron został</w:t>
      </w:r>
      <w:r w:rsidRPr="00F032E9">
        <w:rPr>
          <w:rFonts w:cs="Arial"/>
        </w:rPr>
        <w:t xml:space="preserve"> zbudowany przy przejeździe kolejowo – drogo</w:t>
      </w:r>
      <w:r>
        <w:rPr>
          <w:rFonts w:cs="Arial"/>
        </w:rPr>
        <w:t>wym w ciągu ul. Droga G</w:t>
      </w:r>
      <w:r w:rsidR="00D5268D">
        <w:rPr>
          <w:rFonts w:cs="Arial"/>
        </w:rPr>
        <w:t xml:space="preserve">raniczna. Wartość prac wyniosła </w:t>
      </w:r>
      <w:r w:rsidR="00010F04">
        <w:rPr>
          <w:rFonts w:cs="Arial"/>
        </w:rPr>
        <w:t>prawie 3,9</w:t>
      </w:r>
      <w:r w:rsidR="005A0778" w:rsidRPr="00BD66B1">
        <w:rPr>
          <w:rFonts w:cs="Arial"/>
          <w:color w:val="FF0000"/>
        </w:rPr>
        <w:t xml:space="preserve"> </w:t>
      </w:r>
      <w:r>
        <w:rPr>
          <w:rFonts w:cs="Arial"/>
        </w:rPr>
        <w:t>mln zł netto.</w:t>
      </w:r>
    </w:p>
    <w:p w14:paraId="30EE1350" w14:textId="2BC5910F" w:rsidR="00896F4D" w:rsidRDefault="00BD66B1" w:rsidP="00896F4D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Pr="00341E50">
        <w:rPr>
          <w:rFonts w:eastAsia="Calibri" w:cs="Arial"/>
        </w:rPr>
        <w:t xml:space="preserve"> pobliżu skrzyżowania z ul. P</w:t>
      </w:r>
      <w:r>
        <w:rPr>
          <w:rFonts w:eastAsia="Calibri" w:cs="Arial"/>
        </w:rPr>
        <w:t xml:space="preserve">ołudniową i drogą krajową nr 55 budowany jest nowy przystanek </w:t>
      </w:r>
      <w:r w:rsidRPr="00896F4D">
        <w:rPr>
          <w:rFonts w:eastAsia="Calibri" w:cs="Arial"/>
          <w:b/>
        </w:rPr>
        <w:t>Grudziądz Rządz</w:t>
      </w:r>
      <w:r w:rsidR="005D6C58" w:rsidRPr="00341E50">
        <w:rPr>
          <w:rFonts w:eastAsia="Calibri" w:cs="Arial"/>
        </w:rPr>
        <w:t xml:space="preserve"> (linia kolejowa nr 207 Toruń Wschodni – Malbork)</w:t>
      </w:r>
      <w:r w:rsidR="00896F4D">
        <w:rPr>
          <w:rFonts w:eastAsia="Calibri" w:cs="Arial"/>
        </w:rPr>
        <w:t>, który</w:t>
      </w:r>
      <w:r w:rsidR="005D6C58" w:rsidRPr="00341E50">
        <w:rPr>
          <w:rFonts w:eastAsia="Calibri" w:cs="Arial"/>
        </w:rPr>
        <w:t xml:space="preserve"> ułatwi podróże w kierunku Torunia</w:t>
      </w:r>
      <w:r w:rsidR="00896F4D">
        <w:rPr>
          <w:rFonts w:eastAsia="Calibri" w:cs="Arial"/>
        </w:rPr>
        <w:t xml:space="preserve"> i centrum miasta</w:t>
      </w:r>
      <w:r w:rsidR="005D6C58" w:rsidRPr="00341E50">
        <w:rPr>
          <w:rFonts w:eastAsia="Calibri" w:cs="Arial"/>
        </w:rPr>
        <w:t>.</w:t>
      </w:r>
      <w:r w:rsidR="00D5268D">
        <w:rPr>
          <w:rFonts w:eastAsia="Calibri" w:cs="Arial"/>
        </w:rPr>
        <w:t xml:space="preserve"> </w:t>
      </w:r>
      <w:r w:rsidR="00D5268D" w:rsidRPr="00D5268D">
        <w:rPr>
          <w:rFonts w:eastAsia="Calibri" w:cs="Arial"/>
        </w:rPr>
        <w:t>W</w:t>
      </w:r>
      <w:r w:rsidR="00896F4D" w:rsidRPr="00D5268D">
        <w:rPr>
          <w:rFonts w:eastAsia="Calibri" w:cs="Arial"/>
        </w:rPr>
        <w:t>ykonawca</w:t>
      </w:r>
      <w:r w:rsidR="00D5268D" w:rsidRPr="00D5268D">
        <w:rPr>
          <w:rFonts w:eastAsia="Calibri" w:cs="Arial"/>
        </w:rPr>
        <w:t xml:space="preserve"> przygotował infrastrukturę kablową oraz zgromadził materiały niezbędne do budowy przystanku. Rozpoczęcie prac zaplanowano na marzec, a z</w:t>
      </w:r>
      <w:r w:rsidR="00896F4D" w:rsidRPr="00D5268D">
        <w:rPr>
          <w:rFonts w:eastAsia="Calibri" w:cs="Arial"/>
        </w:rPr>
        <w:t xml:space="preserve">akończenie w </w:t>
      </w:r>
      <w:r w:rsidR="00D5268D" w:rsidRPr="00D5268D">
        <w:rPr>
          <w:rFonts w:eastAsia="Calibri" w:cs="Arial"/>
        </w:rPr>
        <w:t>czerwcu br</w:t>
      </w:r>
      <w:r w:rsidR="00896F4D" w:rsidRPr="00D5268D">
        <w:rPr>
          <w:rFonts w:eastAsia="Calibri" w:cs="Arial"/>
        </w:rPr>
        <w:t>. Nowy przystanek powstaje za kwotę</w:t>
      </w:r>
      <w:r w:rsidR="00010F04">
        <w:rPr>
          <w:rFonts w:eastAsia="Calibri" w:cs="Arial"/>
        </w:rPr>
        <w:t xml:space="preserve"> około</w:t>
      </w:r>
      <w:r w:rsidR="00896F4D" w:rsidRPr="00D5268D">
        <w:rPr>
          <w:rFonts w:eastAsia="Calibri" w:cs="Arial"/>
        </w:rPr>
        <w:t xml:space="preserve"> </w:t>
      </w:r>
      <w:r w:rsidR="00D5268D" w:rsidRPr="00D5268D">
        <w:rPr>
          <w:rFonts w:eastAsia="Calibri" w:cs="Arial"/>
        </w:rPr>
        <w:t>2,5</w:t>
      </w:r>
      <w:r w:rsidR="00896F4D" w:rsidRPr="00D5268D">
        <w:rPr>
          <w:rFonts w:eastAsia="Calibri" w:cs="Arial"/>
        </w:rPr>
        <w:t xml:space="preserve"> mln zł netto. </w:t>
      </w:r>
    </w:p>
    <w:p w14:paraId="75B2C22A" w14:textId="3E0FD94C" w:rsidR="00325E9D" w:rsidRPr="00896F4D" w:rsidRDefault="00896F4D" w:rsidP="00896F4D">
      <w:pPr>
        <w:spacing w:line="360" w:lineRule="auto"/>
        <w:rPr>
          <w:rFonts w:cs="Arial"/>
        </w:rPr>
      </w:pPr>
      <w:r w:rsidRPr="00896F4D">
        <w:rPr>
          <w:rFonts w:eastAsia="Calibri" w:cs="Arial"/>
        </w:rPr>
        <w:t xml:space="preserve">Zbudowane zostanie także nowe, bezpieczne dojście do przystanku </w:t>
      </w:r>
      <w:r w:rsidRPr="006A61B9">
        <w:rPr>
          <w:rFonts w:eastAsia="Calibri" w:cs="Arial"/>
          <w:b/>
        </w:rPr>
        <w:t>Grudziądz Mniszek</w:t>
      </w:r>
      <w:r w:rsidRPr="00896F4D">
        <w:rPr>
          <w:rFonts w:eastAsia="Calibri" w:cs="Arial"/>
        </w:rPr>
        <w:t xml:space="preserve"> (linia kolejowa nr 207 Toruń Wschodni – Malbork), które poprawi </w:t>
      </w:r>
      <w:r>
        <w:rPr>
          <w:rFonts w:eastAsia="Calibri" w:cs="Arial"/>
        </w:rPr>
        <w:t xml:space="preserve">dostęp </w:t>
      </w:r>
      <w:r w:rsidRPr="00896F4D">
        <w:rPr>
          <w:rFonts w:eastAsia="Calibri" w:cs="Arial"/>
        </w:rPr>
        <w:t xml:space="preserve">do kolei od strony ul. Droga Metalowców. </w:t>
      </w:r>
      <w:r w:rsidRPr="00896F4D">
        <w:rPr>
          <w:rFonts w:cs="Arial"/>
        </w:rPr>
        <w:t xml:space="preserve">Powstanie nowe przejście dla pieszych zabezpieczone rogatkami oraz sygnalizacją świetlną. Droga dojścia na peron zostanie wygrodzona, zamontowane zostanie energooszczędne oświetlenie z oprawami LED, które zapewni dobrą widoczność także po zmroku. Dojście zostanie dostosowane do potrzeb osób o ograniczonych możliwościach </w:t>
      </w:r>
      <w:r w:rsidRPr="00D5268D">
        <w:rPr>
          <w:rFonts w:cs="Arial"/>
        </w:rPr>
        <w:t xml:space="preserve">poruszania się. Aktualnie wykonawca prac przygotowuje dokumentację projektową. </w:t>
      </w:r>
      <w:r w:rsidR="00325E9D" w:rsidRPr="00D5268D">
        <w:rPr>
          <w:rFonts w:cs="Arial"/>
        </w:rPr>
        <w:t>Rozpoczęcie i zakończenie prac planowane jest w 2024 r.</w:t>
      </w:r>
      <w:r w:rsidRPr="00D5268D">
        <w:rPr>
          <w:rFonts w:cs="Arial"/>
        </w:rPr>
        <w:t xml:space="preserve"> Wartość inwestycji wynosi </w:t>
      </w:r>
      <w:r w:rsidR="00010F04">
        <w:rPr>
          <w:rFonts w:cs="Arial"/>
        </w:rPr>
        <w:t xml:space="preserve">prawie </w:t>
      </w:r>
      <w:r w:rsidR="00D5268D" w:rsidRPr="00D5268D">
        <w:rPr>
          <w:rFonts w:cs="Arial"/>
        </w:rPr>
        <w:t>1,8</w:t>
      </w:r>
      <w:r w:rsidRPr="00D5268D">
        <w:rPr>
          <w:rFonts w:cs="Arial"/>
        </w:rPr>
        <w:t xml:space="preserve"> mln zł netto. </w:t>
      </w:r>
    </w:p>
    <w:p w14:paraId="66ABDC5A" w14:textId="7762AADD" w:rsidR="005073B5" w:rsidRPr="00896F4D" w:rsidRDefault="005073B5" w:rsidP="00896F4D">
      <w:pPr>
        <w:spacing w:line="360" w:lineRule="auto"/>
      </w:pPr>
    </w:p>
    <w:p w14:paraId="6A3158B6" w14:textId="77777777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77777777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F2EE" w14:textId="77777777" w:rsidR="006667C2" w:rsidRDefault="006667C2" w:rsidP="009D1AEB">
      <w:pPr>
        <w:spacing w:after="0" w:line="240" w:lineRule="auto"/>
      </w:pPr>
      <w:r>
        <w:separator/>
      </w:r>
    </w:p>
  </w:endnote>
  <w:endnote w:type="continuationSeparator" w:id="0">
    <w:p w14:paraId="5B4903FE" w14:textId="77777777" w:rsidR="006667C2" w:rsidRDefault="006667C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969B" w14:textId="77777777" w:rsidR="006667C2" w:rsidRDefault="006667C2" w:rsidP="009D1AEB">
      <w:pPr>
        <w:spacing w:after="0" w:line="240" w:lineRule="auto"/>
      </w:pPr>
      <w:r>
        <w:separator/>
      </w:r>
    </w:p>
  </w:footnote>
  <w:footnote w:type="continuationSeparator" w:id="0">
    <w:p w14:paraId="5F83DB3D" w14:textId="77777777" w:rsidR="006667C2" w:rsidRDefault="006667C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369167">
    <w:abstractNumId w:val="1"/>
  </w:num>
  <w:num w:numId="2" w16cid:durableId="325785738">
    <w:abstractNumId w:val="0"/>
  </w:num>
  <w:num w:numId="3" w16cid:durableId="588807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602CB"/>
    <w:rsid w:val="000701C5"/>
    <w:rsid w:val="00072424"/>
    <w:rsid w:val="00072994"/>
    <w:rsid w:val="00076292"/>
    <w:rsid w:val="00092D03"/>
    <w:rsid w:val="000A3B2B"/>
    <w:rsid w:val="000D3EC2"/>
    <w:rsid w:val="000D4320"/>
    <w:rsid w:val="000D4686"/>
    <w:rsid w:val="000F1E4F"/>
    <w:rsid w:val="00106CFB"/>
    <w:rsid w:val="0014543B"/>
    <w:rsid w:val="00177374"/>
    <w:rsid w:val="001863F7"/>
    <w:rsid w:val="00191DED"/>
    <w:rsid w:val="001A0115"/>
    <w:rsid w:val="001A0D1E"/>
    <w:rsid w:val="001A0FA4"/>
    <w:rsid w:val="001B24C8"/>
    <w:rsid w:val="001B3671"/>
    <w:rsid w:val="001E0F55"/>
    <w:rsid w:val="001E6758"/>
    <w:rsid w:val="001F232D"/>
    <w:rsid w:val="001F3200"/>
    <w:rsid w:val="001F7D36"/>
    <w:rsid w:val="00207F17"/>
    <w:rsid w:val="00231267"/>
    <w:rsid w:val="00236985"/>
    <w:rsid w:val="00260E09"/>
    <w:rsid w:val="0026491F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A5"/>
    <w:rsid w:val="003B1C58"/>
    <w:rsid w:val="003B525D"/>
    <w:rsid w:val="003C5E6C"/>
    <w:rsid w:val="003F5E5F"/>
    <w:rsid w:val="00401F21"/>
    <w:rsid w:val="004061B3"/>
    <w:rsid w:val="004159CA"/>
    <w:rsid w:val="00421617"/>
    <w:rsid w:val="00440E35"/>
    <w:rsid w:val="00450285"/>
    <w:rsid w:val="0046358E"/>
    <w:rsid w:val="004672F7"/>
    <w:rsid w:val="004A17DD"/>
    <w:rsid w:val="004B2FB6"/>
    <w:rsid w:val="004E3D71"/>
    <w:rsid w:val="005023E0"/>
    <w:rsid w:val="00502A8A"/>
    <w:rsid w:val="00505958"/>
    <w:rsid w:val="005073B5"/>
    <w:rsid w:val="00531FF3"/>
    <w:rsid w:val="00541B5B"/>
    <w:rsid w:val="00556193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12FA"/>
    <w:rsid w:val="005D6C58"/>
    <w:rsid w:val="005D713A"/>
    <w:rsid w:val="005D72A6"/>
    <w:rsid w:val="005E1A5F"/>
    <w:rsid w:val="005E5A21"/>
    <w:rsid w:val="0060236E"/>
    <w:rsid w:val="00607A57"/>
    <w:rsid w:val="00622016"/>
    <w:rsid w:val="00622F42"/>
    <w:rsid w:val="006331ED"/>
    <w:rsid w:val="0063625B"/>
    <w:rsid w:val="006365C4"/>
    <w:rsid w:val="006667C2"/>
    <w:rsid w:val="00671E21"/>
    <w:rsid w:val="00686E7C"/>
    <w:rsid w:val="00691002"/>
    <w:rsid w:val="006A61B9"/>
    <w:rsid w:val="006B1136"/>
    <w:rsid w:val="006C6C1C"/>
    <w:rsid w:val="006E00F9"/>
    <w:rsid w:val="006E0515"/>
    <w:rsid w:val="007178D9"/>
    <w:rsid w:val="007317F6"/>
    <w:rsid w:val="007411C1"/>
    <w:rsid w:val="00742519"/>
    <w:rsid w:val="0077527D"/>
    <w:rsid w:val="00777D9F"/>
    <w:rsid w:val="007C1108"/>
    <w:rsid w:val="007F0F98"/>
    <w:rsid w:val="007F2DC7"/>
    <w:rsid w:val="007F3648"/>
    <w:rsid w:val="007F42EB"/>
    <w:rsid w:val="00807C04"/>
    <w:rsid w:val="00814172"/>
    <w:rsid w:val="00815D79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D5441"/>
    <w:rsid w:val="008D57C9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D1AEB"/>
    <w:rsid w:val="009D1EBF"/>
    <w:rsid w:val="009D737B"/>
    <w:rsid w:val="009D7C5F"/>
    <w:rsid w:val="00A05027"/>
    <w:rsid w:val="00A050AF"/>
    <w:rsid w:val="00A136D2"/>
    <w:rsid w:val="00A1573E"/>
    <w:rsid w:val="00A15AED"/>
    <w:rsid w:val="00A50313"/>
    <w:rsid w:val="00A523AA"/>
    <w:rsid w:val="00A655C8"/>
    <w:rsid w:val="00A72B76"/>
    <w:rsid w:val="00A81BA1"/>
    <w:rsid w:val="00A90B6F"/>
    <w:rsid w:val="00A978EE"/>
    <w:rsid w:val="00AA07F1"/>
    <w:rsid w:val="00AA51CB"/>
    <w:rsid w:val="00AB1FCB"/>
    <w:rsid w:val="00AE4F6F"/>
    <w:rsid w:val="00AE56CD"/>
    <w:rsid w:val="00AF5ABF"/>
    <w:rsid w:val="00B05DA7"/>
    <w:rsid w:val="00B11856"/>
    <w:rsid w:val="00B12A3C"/>
    <w:rsid w:val="00B41166"/>
    <w:rsid w:val="00B46580"/>
    <w:rsid w:val="00B54E4C"/>
    <w:rsid w:val="00B5615C"/>
    <w:rsid w:val="00B5791F"/>
    <w:rsid w:val="00B648AA"/>
    <w:rsid w:val="00B90F0C"/>
    <w:rsid w:val="00BA18F3"/>
    <w:rsid w:val="00BB0F20"/>
    <w:rsid w:val="00BC4660"/>
    <w:rsid w:val="00BD66B1"/>
    <w:rsid w:val="00BD74B2"/>
    <w:rsid w:val="00BF426A"/>
    <w:rsid w:val="00C239CE"/>
    <w:rsid w:val="00C35071"/>
    <w:rsid w:val="00C46713"/>
    <w:rsid w:val="00C61088"/>
    <w:rsid w:val="00C77848"/>
    <w:rsid w:val="00C85628"/>
    <w:rsid w:val="00C90AE2"/>
    <w:rsid w:val="00CA0FE7"/>
    <w:rsid w:val="00CA3D8A"/>
    <w:rsid w:val="00CB1184"/>
    <w:rsid w:val="00CD19E5"/>
    <w:rsid w:val="00CD4E47"/>
    <w:rsid w:val="00CE3E48"/>
    <w:rsid w:val="00CE70E1"/>
    <w:rsid w:val="00CF3D6F"/>
    <w:rsid w:val="00CF535A"/>
    <w:rsid w:val="00D1109B"/>
    <w:rsid w:val="00D129E8"/>
    <w:rsid w:val="00D149FC"/>
    <w:rsid w:val="00D26970"/>
    <w:rsid w:val="00D27075"/>
    <w:rsid w:val="00D33813"/>
    <w:rsid w:val="00D37E1F"/>
    <w:rsid w:val="00D5268D"/>
    <w:rsid w:val="00D538DA"/>
    <w:rsid w:val="00D55254"/>
    <w:rsid w:val="00D56C12"/>
    <w:rsid w:val="00D70AD7"/>
    <w:rsid w:val="00D74A33"/>
    <w:rsid w:val="00D85652"/>
    <w:rsid w:val="00D9072D"/>
    <w:rsid w:val="00DA31FA"/>
    <w:rsid w:val="00DA3DBA"/>
    <w:rsid w:val="00DA6AFD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61250"/>
    <w:rsid w:val="00E738FB"/>
    <w:rsid w:val="00E97DE6"/>
    <w:rsid w:val="00EA4FB3"/>
    <w:rsid w:val="00EB483D"/>
    <w:rsid w:val="00EC2E33"/>
    <w:rsid w:val="00EC2ED8"/>
    <w:rsid w:val="00EF3690"/>
    <w:rsid w:val="00F032E9"/>
    <w:rsid w:val="00F0640B"/>
    <w:rsid w:val="00F10097"/>
    <w:rsid w:val="00F16B83"/>
    <w:rsid w:val="00F24B54"/>
    <w:rsid w:val="00F33FD9"/>
    <w:rsid w:val="00F41C6E"/>
    <w:rsid w:val="00F56DD5"/>
    <w:rsid w:val="00F56DD6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096B6-FFA2-4088-A74F-F0522D3C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Grudziądz: lepszy dostęp do kolei i sprawne podróże pociągiem po wyremontowanym moście</vt:lpstr>
    </vt:vector>
  </TitlesOfParts>
  <Company>PKP PLK S.A.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Grudziądz: lepszy dostęp do kolei i sprawne podróże pociągiem po wyremontowanym moście</dc:title>
  <dc:subject/>
  <dc:creator>Przemyslaw.Zielinski2@plk-sa.pl</dc:creator>
  <cp:keywords/>
  <dc:description/>
  <cp:lastModifiedBy>Błażejczyk Marta</cp:lastModifiedBy>
  <cp:revision>91</cp:revision>
  <dcterms:created xsi:type="dcterms:W3CDTF">2022-04-19T12:19:00Z</dcterms:created>
  <dcterms:modified xsi:type="dcterms:W3CDTF">2024-02-01T10:14:00Z</dcterms:modified>
</cp:coreProperties>
</file>