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64D1AD19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3F2C48">
        <w:rPr>
          <w:rFonts w:cs="Arial"/>
        </w:rPr>
        <w:t xml:space="preserve"> </w:t>
      </w:r>
      <w:r w:rsidR="00770E4C">
        <w:rPr>
          <w:rFonts w:cs="Arial"/>
        </w:rPr>
        <w:t>03</w:t>
      </w:r>
      <w:r w:rsidR="00E61975">
        <w:rPr>
          <w:rFonts w:cs="Arial"/>
        </w:rPr>
        <w:t>.0</w:t>
      </w:r>
      <w:r w:rsidR="00770E4C">
        <w:rPr>
          <w:rFonts w:cs="Arial"/>
        </w:rPr>
        <w:t>3</w:t>
      </w:r>
      <w:r w:rsidR="00E61975">
        <w:rPr>
          <w:rFonts w:cs="Arial"/>
        </w:rPr>
        <w:t>.</w:t>
      </w:r>
      <w:r>
        <w:rPr>
          <w:rFonts w:cs="Arial"/>
        </w:rPr>
        <w:t>202</w:t>
      </w:r>
      <w:r w:rsidR="00E61975">
        <w:rPr>
          <w:rFonts w:cs="Arial"/>
        </w:rPr>
        <w:t>5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444A5B7C" w14:textId="50D41B22" w:rsidR="00EA7040" w:rsidRPr="001F6CF0" w:rsidRDefault="00EA7040" w:rsidP="00EA7040">
      <w:pPr>
        <w:keepNext/>
        <w:keepLines/>
        <w:spacing w:before="240" w:after="240" w:line="276" w:lineRule="auto"/>
        <w:jc w:val="both"/>
        <w:outlineLvl w:val="0"/>
        <w:rPr>
          <w:rFonts w:eastAsia="Times New Roman" w:cs="Arial"/>
          <w:b/>
          <w:bCs/>
        </w:rPr>
      </w:pPr>
      <w:bookmarkStart w:id="0" w:name="_Hlk170908067"/>
      <w:bookmarkStart w:id="1" w:name="_Hlk191026124"/>
      <w:r w:rsidRPr="001F6CF0">
        <w:rPr>
          <w:rFonts w:eastAsia="Times New Roman" w:cs="Arial"/>
          <w:b/>
          <w:bCs/>
        </w:rPr>
        <w:t xml:space="preserve">PLK SA i PGE Energetyka Kolejowa </w:t>
      </w:r>
      <w:r>
        <w:rPr>
          <w:rFonts w:eastAsia="Times New Roman" w:cs="Arial"/>
          <w:b/>
          <w:bCs/>
        </w:rPr>
        <w:t xml:space="preserve">– razem dla rozwoju nowoczesnej kolei w Polsce </w:t>
      </w:r>
    </w:p>
    <w:bookmarkEnd w:id="0"/>
    <w:p w14:paraId="73A47903" w14:textId="77777777" w:rsidR="00EA7040" w:rsidRPr="00326C3D" w:rsidRDefault="00EA7040" w:rsidP="00326C3D">
      <w:pPr>
        <w:spacing w:after="0" w:line="360" w:lineRule="auto"/>
        <w:rPr>
          <w:rFonts w:eastAsia="Calibri"/>
          <w:b/>
          <w:bCs/>
        </w:rPr>
      </w:pPr>
      <w:r w:rsidRPr="00326C3D">
        <w:rPr>
          <w:b/>
          <w:bCs/>
        </w:rPr>
        <w:t xml:space="preserve">PKP Polskie Linie Kolejowe S.A. i PGE Energetyka Kolejowa S.A. podpisały dwa porozumienia dotyczące współpracy w zakresie energetyki kolejowej. </w:t>
      </w:r>
      <w:r w:rsidRPr="00326C3D">
        <w:rPr>
          <w:rFonts w:eastAsia="Calibri"/>
          <w:b/>
          <w:bCs/>
        </w:rPr>
        <w:t xml:space="preserve">Ich realizacja pozwoli podnieść prędkość pociągów oraz przepustowość linii kolejowych zarządzanych przez PLK SA. Na mocy porozumień, spółki będą wspólnie budować nowoczesną infrastrukturę zasilającą sieć trakcyjną, która – poprzez poprawę parametrów zasilania – zwiększy konkurencyjność kolei w Polsce i umożliwi jej dalszy rozwój. </w:t>
      </w:r>
    </w:p>
    <w:p w14:paraId="07C3678C" w14:textId="77777777" w:rsidR="00EA7040" w:rsidRPr="00EA7040" w:rsidRDefault="00EA7040" w:rsidP="00EA7040">
      <w:pPr>
        <w:spacing w:before="120" w:after="120" w:line="360" w:lineRule="auto"/>
        <w:rPr>
          <w:rStyle w:val="cf01"/>
          <w:rFonts w:ascii="Arial" w:hAnsi="Arial" w:cs="Arial"/>
          <w:sz w:val="22"/>
          <w:szCs w:val="22"/>
        </w:rPr>
      </w:pPr>
      <w:r w:rsidRPr="00EA7040">
        <w:rPr>
          <w:rStyle w:val="cf01"/>
          <w:rFonts w:ascii="Arial" w:hAnsi="Arial" w:cs="Arial"/>
          <w:sz w:val="22"/>
          <w:szCs w:val="22"/>
        </w:rPr>
        <w:t>Podpisane w lutym br. dokumenty określają warunki współpracy stron w zakresie inwestycji oraz zapewnienia prawidłowego funkcjonowania systemu energetycznego na liniach kolejowych. Doprecyzowują</w:t>
      </w:r>
      <w:r w:rsidRPr="00EA7040">
        <w:rPr>
          <w:rFonts w:eastAsia="Calibri" w:cs="Arial"/>
        </w:rPr>
        <w:t xml:space="preserve"> zasady budowy, modernizacji i certyfikacji układów zasilania sieci trakcyjnej.</w:t>
      </w:r>
      <w:r w:rsidRPr="00EA7040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E681849" w14:textId="77777777" w:rsidR="00EA7040" w:rsidRPr="00EA7040" w:rsidRDefault="00EA7040" w:rsidP="00326C3D">
      <w:pPr>
        <w:pStyle w:val="Nagwek2"/>
        <w:rPr>
          <w:rFonts w:eastAsia="Calibri"/>
        </w:rPr>
      </w:pPr>
      <w:r w:rsidRPr="00EA7040">
        <w:rPr>
          <w:rFonts w:eastAsia="Calibri"/>
        </w:rPr>
        <w:t>Inwestycje w nowoczesną kolej</w:t>
      </w:r>
    </w:p>
    <w:p w14:paraId="2A788BBA" w14:textId="77777777" w:rsidR="00EA7040" w:rsidRPr="00EA7040" w:rsidRDefault="00EA7040" w:rsidP="00EA7040">
      <w:pPr>
        <w:spacing w:before="120" w:after="120" w:line="360" w:lineRule="auto"/>
        <w:rPr>
          <w:rFonts w:eastAsia="Calibri" w:cs="Arial"/>
        </w:rPr>
      </w:pPr>
      <w:r w:rsidRPr="00EA7040">
        <w:rPr>
          <w:rFonts w:eastAsia="Calibri" w:cs="Arial"/>
        </w:rPr>
        <w:t>Na podstawie odrębnych umów, zawieranych odtąd zgodnie z zapisami nowego</w:t>
      </w:r>
      <w:r w:rsidRPr="00EA7040">
        <w:rPr>
          <w:rFonts w:cs="Arial"/>
          <w:bCs/>
          <w:color w:val="000000" w:themeColor="text1"/>
        </w:rPr>
        <w:t xml:space="preserve"> </w:t>
      </w:r>
      <w:r w:rsidRPr="00EA7040">
        <w:rPr>
          <w:rFonts w:cs="Arial"/>
          <w:b/>
          <w:i/>
          <w:iCs/>
          <w:color w:val="000000" w:themeColor="text1"/>
        </w:rPr>
        <w:t>Porozumienia w sprawie zasad przyłączania sieci trakcyjnej do sieci dystrybucyjnej</w:t>
      </w:r>
      <w:r w:rsidRPr="00EA7040">
        <w:rPr>
          <w:rFonts w:cs="Arial"/>
        </w:rPr>
        <w:t xml:space="preserve"> </w:t>
      </w:r>
      <w:r w:rsidRPr="00EA7040">
        <w:rPr>
          <w:rFonts w:cs="Arial"/>
          <w:b/>
          <w:i/>
          <w:iCs/>
          <w:color w:val="000000" w:themeColor="text1"/>
        </w:rPr>
        <w:t>przedsiębiorstwa energetycznego PGE Energetyka Kolejowa S.A,</w:t>
      </w:r>
      <w:r w:rsidRPr="00EA7040">
        <w:rPr>
          <w:rFonts w:eastAsia="Calibri" w:cs="Arial"/>
        </w:rPr>
        <w:t xml:space="preserve">, do końca 2029 r. wybudowanych lub zmodernizowanych zostanie blisko 90 podstacji trakcyjnych i kabin sekcyjnych o wartości ponad 2 mld zł. Planowane jest też podjęcie decyzji w sprawie budowy lub modernizacji kolejnych 170 obiektów w następnych pięciu latach </w:t>
      </w:r>
    </w:p>
    <w:p w14:paraId="6D9524ED" w14:textId="77777777" w:rsidR="00EA7040" w:rsidRPr="00EA7040" w:rsidRDefault="00EA7040" w:rsidP="00EA7040">
      <w:pPr>
        <w:spacing w:before="120" w:after="120" w:line="360" w:lineRule="auto"/>
        <w:rPr>
          <w:rFonts w:cs="Arial"/>
        </w:rPr>
      </w:pPr>
      <w:r w:rsidRPr="00EA7040">
        <w:rPr>
          <w:rFonts w:eastAsia="Calibri" w:cs="Arial"/>
        </w:rPr>
        <w:t xml:space="preserve">– </w:t>
      </w:r>
      <w:r w:rsidRPr="00EA7040">
        <w:rPr>
          <w:rFonts w:eastAsia="Calibri" w:cs="Arial"/>
          <w:i/>
          <w:iCs/>
        </w:rPr>
        <w:t xml:space="preserve">Według nowych zapisów, PGE Energetyka Kolejowa będzie w pełni odpowiedzialna za cały system zasilania sieci trakcyjnej, w tym budowę wszystkich nowych podstacji trakcyjnych i kabin sekcyjnych. Pozwoli to z wyprzedzeniem planować i realizować inwestycje, co jest niezwykle istotne w kontekście właściwego wydatkowania środków inwestycyjnych, w tym pochodzących z KPO </w:t>
      </w:r>
      <w:r w:rsidRPr="00EA7040">
        <w:rPr>
          <w:rFonts w:eastAsia="Calibri" w:cs="Arial"/>
        </w:rPr>
        <w:t xml:space="preserve">– mówi Mateusz Sławiński, prezes Zarządu PGE Energetyka Kolejowa. </w:t>
      </w:r>
    </w:p>
    <w:p w14:paraId="0DB68772" w14:textId="77777777" w:rsidR="00EA7040" w:rsidRPr="00EA7040" w:rsidRDefault="00EA7040" w:rsidP="00EA7040">
      <w:pPr>
        <w:spacing w:before="120" w:after="120" w:line="360" w:lineRule="auto"/>
        <w:rPr>
          <w:rFonts w:eastAsia="Calibri" w:cs="Arial"/>
          <w:bCs/>
          <w:color w:val="000000" w:themeColor="text1"/>
        </w:rPr>
      </w:pPr>
      <w:r w:rsidRPr="00EA7040">
        <w:rPr>
          <w:rFonts w:eastAsia="Calibri" w:cs="Arial"/>
          <w:bCs/>
          <w:color w:val="000000" w:themeColor="text1"/>
        </w:rPr>
        <w:t xml:space="preserve">Porozumienie podtrzymuje ponadto dotychczasową zasadę wynikającą z charakterystyki pracy układu zasilania sieci trakcyjnej w systemie 3 </w:t>
      </w:r>
      <w:proofErr w:type="spellStart"/>
      <w:r w:rsidRPr="00EA7040">
        <w:rPr>
          <w:rFonts w:eastAsia="Calibri" w:cs="Arial"/>
          <w:bCs/>
          <w:color w:val="000000" w:themeColor="text1"/>
        </w:rPr>
        <w:t>kV</w:t>
      </w:r>
      <w:proofErr w:type="spellEnd"/>
      <w:r w:rsidRPr="00EA7040">
        <w:rPr>
          <w:rFonts w:eastAsia="Calibri" w:cs="Arial"/>
          <w:bCs/>
          <w:color w:val="000000" w:themeColor="text1"/>
        </w:rPr>
        <w:t xml:space="preserve"> DC, zakładającą, że odcinek sieci jest równocześnie zasilany z sąsiednich podstacji, co zapewnia wysoką jakość i pewność zasilania.</w:t>
      </w:r>
    </w:p>
    <w:p w14:paraId="2E76D0E5" w14:textId="77777777" w:rsidR="00EA7040" w:rsidRPr="00EA7040" w:rsidRDefault="00EA7040" w:rsidP="00326C3D">
      <w:pPr>
        <w:pStyle w:val="Nagwek2"/>
      </w:pPr>
      <w:bookmarkStart w:id="2" w:name="_Hlk190778673"/>
      <w:bookmarkEnd w:id="1"/>
      <w:r w:rsidRPr="00EA7040">
        <w:t xml:space="preserve">Energia dla szybkiej kolei </w:t>
      </w:r>
    </w:p>
    <w:p w14:paraId="1F38A8AD" w14:textId="77777777" w:rsidR="00EA7040" w:rsidRPr="00EA7040" w:rsidRDefault="00EA7040" w:rsidP="00EA7040">
      <w:pPr>
        <w:spacing w:before="120" w:after="120" w:line="360" w:lineRule="auto"/>
        <w:rPr>
          <w:rFonts w:cs="Arial"/>
        </w:rPr>
      </w:pPr>
      <w:r w:rsidRPr="00EA7040">
        <w:rPr>
          <w:rFonts w:cs="Arial"/>
        </w:rPr>
        <w:t xml:space="preserve">Drugi podpisany dokument – </w:t>
      </w:r>
      <w:r w:rsidRPr="00EA7040">
        <w:rPr>
          <w:rFonts w:cs="Arial"/>
          <w:b/>
          <w:i/>
          <w:iCs/>
        </w:rPr>
        <w:t>Porozumienie w zakresie zgodności podsystemu Energia</w:t>
      </w:r>
      <w:r w:rsidRPr="00EA7040">
        <w:rPr>
          <w:rFonts w:cs="Arial"/>
        </w:rPr>
        <w:t xml:space="preserve"> </w:t>
      </w:r>
      <w:r w:rsidRPr="00EA7040">
        <w:rPr>
          <w:rFonts w:cs="Arial"/>
          <w:b/>
          <w:i/>
          <w:iCs/>
        </w:rPr>
        <w:t>z zasadniczymi wymaganiami kolei, których wypełnienie wymagane jest w celu zapewnienia interoperacyjności</w:t>
      </w:r>
      <w:r w:rsidRPr="00EA7040">
        <w:rPr>
          <w:rFonts w:cs="Arial"/>
          <w:bCs/>
          <w:i/>
          <w:iCs/>
        </w:rPr>
        <w:t>,</w:t>
      </w:r>
      <w:r w:rsidRPr="00EA7040">
        <w:rPr>
          <w:rFonts w:cs="Arial"/>
        </w:rPr>
        <w:t xml:space="preserve"> reguluje kwestie współpracy w obszarze zarządzania podsystemem Energia na kolei – umożliwia precyzyjny podział kompetencji i zadań pomiędzy PGE Energetyka Kolejowa a PLK SA, wymianę dokumentacji i informacji, wspólne prowadzenie badań oraz pozyskiwanie od </w:t>
      </w:r>
      <w:r w:rsidRPr="00EA7040">
        <w:rPr>
          <w:rFonts w:cs="Arial"/>
        </w:rPr>
        <w:lastRenderedPageBreak/>
        <w:t>UTK zezwoleń na dopuszczenie do eksploatacji podsystemu.</w:t>
      </w:r>
      <w:bookmarkEnd w:id="2"/>
      <w:r w:rsidRPr="00EA7040">
        <w:rPr>
          <w:rFonts w:cs="Arial"/>
        </w:rPr>
        <w:t xml:space="preserve"> </w:t>
      </w:r>
      <w:r w:rsidRPr="00EA7040">
        <w:rPr>
          <w:rFonts w:cs="Arial"/>
          <w:bCs/>
        </w:rPr>
        <w:t xml:space="preserve">Określa także zasady certyfikacji podsystemu Energia – tak, aby </w:t>
      </w:r>
      <w:r w:rsidRPr="00EA7040">
        <w:rPr>
          <w:rFonts w:cs="Arial"/>
        </w:rPr>
        <w:t xml:space="preserve">spełniał wysokie standardy i zapewniał zgodność systemu zasilania elektrycznych pojazdów trakcyjnych z wymaganiami interoperacyjności. Dzięki temu możliwe będzie dotrzymanie oczekiwanych przez przewoźników parametrów dostaw energii, a pasażerowie zyskają </w:t>
      </w:r>
      <w:r w:rsidRPr="00EA7040">
        <w:rPr>
          <w:rFonts w:cs="Arial"/>
          <w:color w:val="000000" w:themeColor="text1"/>
        </w:rPr>
        <w:t>coraz szybsze połączenia</w:t>
      </w:r>
      <w:r w:rsidRPr="00EA7040">
        <w:rPr>
          <w:rFonts w:cs="Arial"/>
        </w:rPr>
        <w:t>.</w:t>
      </w:r>
    </w:p>
    <w:p w14:paraId="5BABB343" w14:textId="77777777" w:rsidR="00EA7040" w:rsidRPr="00EA7040" w:rsidRDefault="00EA7040" w:rsidP="00EA7040">
      <w:pPr>
        <w:spacing w:before="120" w:after="120" w:line="360" w:lineRule="auto"/>
        <w:rPr>
          <w:rFonts w:cs="Arial"/>
          <w:bCs/>
        </w:rPr>
      </w:pPr>
      <w:r w:rsidRPr="00EA7040">
        <w:rPr>
          <w:rFonts w:eastAsia="Calibri" w:cs="Arial"/>
          <w:i/>
          <w:iCs/>
        </w:rPr>
        <w:t xml:space="preserve">– Współpraca ze spółką PGE Energetyka Kolejowa jest kluczowa dla zagwarantowania wysokiej jakości usług kolejowych. Zawarcie porozumień służy utrzymaniu jednolitego i zintegrowanego systemu energetycznego, który pozwoli na efektywne zarządzanie mechanizmem zasilania sieci trakcyjnej. Dzięki tym rozwiązaniom zapewnione zostaną bezpieczeństwo i wysokie standardy funkcjonowania systemu, co wpłynie pozytywnie na jakość świadczonych przez nas usług oraz możliwości transportu kolejowego w Polsce – </w:t>
      </w:r>
      <w:r w:rsidRPr="00EA7040">
        <w:rPr>
          <w:rFonts w:eastAsia="Calibri" w:cs="Arial"/>
        </w:rPr>
        <w:t>mówi Piotr Wyborski, prezes Zarządu PKP Polskich Linii Kolejowych S.A.</w:t>
      </w:r>
      <w:r w:rsidRPr="00EA7040">
        <w:rPr>
          <w:rFonts w:eastAsia="Calibri" w:cs="Arial"/>
          <w:i/>
          <w:iCs/>
        </w:rPr>
        <w:t xml:space="preserve">    </w:t>
      </w:r>
    </w:p>
    <w:p w14:paraId="6508F6F1" w14:textId="594AEA7C" w:rsidR="00EA7040" w:rsidRPr="00EA7040" w:rsidRDefault="00EA7040" w:rsidP="00EA7040">
      <w:pPr>
        <w:spacing w:before="120" w:after="120" w:line="360" w:lineRule="auto"/>
        <w:rPr>
          <w:rFonts w:cs="Arial"/>
          <w:color w:val="0070C0"/>
        </w:rPr>
      </w:pPr>
      <w:r>
        <w:rPr>
          <w:rFonts w:eastAsia="Calibri" w:cs="Arial"/>
        </w:rPr>
        <w:t>Porozumienie</w:t>
      </w:r>
      <w:r w:rsidRPr="00EA7040">
        <w:rPr>
          <w:rFonts w:eastAsia="Calibri" w:cs="Arial"/>
        </w:rPr>
        <w:t xml:space="preserve"> pomiędzy PKP Polskimi Liniami Kolejowymi S.A. – zarządcą narodowej sieci linii kolejowych a PGE Energetyka Kolejowa S.A. – spółką będącą łącznikiem kolei z systemem elektroenergetycznym, jest kluczow</w:t>
      </w:r>
      <w:r>
        <w:rPr>
          <w:rFonts w:eastAsia="Calibri" w:cs="Arial"/>
        </w:rPr>
        <w:t>e</w:t>
      </w:r>
      <w:r w:rsidRPr="00EA7040">
        <w:rPr>
          <w:rFonts w:eastAsia="Calibri" w:cs="Arial"/>
        </w:rPr>
        <w:t xml:space="preserve"> dla utrzymania i rozwoju systemu kolei w Polsce. PGE Energetyka Kolejowa dostarcza energię elektryczną dla przewoźników kolejowych oraz świadczy usługi utrzymania sieci trakcyjnej należącej do PLK SA. Spółki realizują także program modernizacji układów zasilania sieci kolejowej „</w:t>
      </w:r>
      <w:proofErr w:type="spellStart"/>
      <w:r w:rsidRPr="00EA7040">
        <w:rPr>
          <w:rFonts w:eastAsia="Calibri" w:cs="Arial"/>
        </w:rPr>
        <w:t>MUZa</w:t>
      </w:r>
      <w:proofErr w:type="spellEnd"/>
      <w:r w:rsidRPr="00EA7040">
        <w:rPr>
          <w:rFonts w:eastAsia="Calibri" w:cs="Arial"/>
        </w:rPr>
        <w:t>”.</w:t>
      </w:r>
    </w:p>
    <w:p w14:paraId="4A27D546" w14:textId="77777777" w:rsidR="00EA7040" w:rsidRDefault="00EA7040" w:rsidP="00EA7040">
      <w:pPr>
        <w:spacing w:before="120" w:after="120" w:line="360" w:lineRule="auto"/>
        <w:rPr>
          <w:rFonts w:eastAsia="Calibri" w:cs="Arial"/>
          <w:b/>
          <w:bCs/>
        </w:rPr>
      </w:pPr>
    </w:p>
    <w:p w14:paraId="23F66115" w14:textId="3BE137D6" w:rsidR="00EA7040" w:rsidRPr="00EA7040" w:rsidRDefault="00EA7040" w:rsidP="00326C3D">
      <w:pPr>
        <w:pStyle w:val="Nagwek2"/>
        <w:rPr>
          <w:rFonts w:eastAsia="Calibri"/>
        </w:rPr>
      </w:pPr>
      <w:r w:rsidRPr="00EA7040">
        <w:rPr>
          <w:rFonts w:eastAsia="Calibri"/>
        </w:rPr>
        <w:t>Efekty porozumień:</w:t>
      </w:r>
    </w:p>
    <w:p w14:paraId="3DF71AD3" w14:textId="77777777" w:rsidR="00EA7040" w:rsidRPr="00EA7040" w:rsidRDefault="00EA7040" w:rsidP="00EA7040">
      <w:pPr>
        <w:numPr>
          <w:ilvl w:val="0"/>
          <w:numId w:val="4"/>
        </w:numPr>
        <w:spacing w:before="120" w:after="120" w:line="360" w:lineRule="auto"/>
        <w:ind w:left="742"/>
        <w:rPr>
          <w:rFonts w:eastAsia="Calibri" w:cs="Arial"/>
          <w:bCs/>
        </w:rPr>
      </w:pPr>
      <w:r w:rsidRPr="00EA7040">
        <w:rPr>
          <w:rFonts w:eastAsia="Calibri" w:cs="Arial"/>
        </w:rPr>
        <w:t xml:space="preserve">Budowa infrastruktury umożliwiającej </w:t>
      </w:r>
      <w:r w:rsidRPr="00EA7040">
        <w:rPr>
          <w:rFonts w:eastAsia="Calibri" w:cs="Arial"/>
          <w:b/>
          <w:bCs/>
        </w:rPr>
        <w:t>rozwój kolei w Polsce. </w:t>
      </w:r>
    </w:p>
    <w:p w14:paraId="4BCCF355" w14:textId="77777777" w:rsidR="00EA7040" w:rsidRPr="00EA7040" w:rsidRDefault="00EA7040" w:rsidP="00EA7040">
      <w:pPr>
        <w:numPr>
          <w:ilvl w:val="0"/>
          <w:numId w:val="4"/>
        </w:numPr>
        <w:spacing w:before="120" w:after="120" w:line="360" w:lineRule="auto"/>
        <w:ind w:left="742"/>
        <w:rPr>
          <w:rFonts w:eastAsia="Calibri" w:cs="Arial"/>
          <w:bCs/>
        </w:rPr>
      </w:pPr>
      <w:r w:rsidRPr="00EA7040">
        <w:rPr>
          <w:rFonts w:eastAsia="Calibri" w:cs="Arial"/>
        </w:rPr>
        <w:t>Zwiększenie przepustowości linii kolejowych oraz</w:t>
      </w:r>
      <w:r w:rsidRPr="00EA7040">
        <w:rPr>
          <w:rFonts w:eastAsia="Calibri" w:cs="Arial"/>
          <w:b/>
          <w:bCs/>
        </w:rPr>
        <w:t xml:space="preserve"> stworzenie warunków do podniesienia prędkości nowoczesnych pociągów.</w:t>
      </w:r>
    </w:p>
    <w:p w14:paraId="109FE630" w14:textId="77777777" w:rsidR="00EA7040" w:rsidRPr="00EA7040" w:rsidRDefault="00EA7040" w:rsidP="00EA7040">
      <w:pPr>
        <w:numPr>
          <w:ilvl w:val="0"/>
          <w:numId w:val="4"/>
        </w:numPr>
        <w:spacing w:before="120" w:after="120" w:line="360" w:lineRule="auto"/>
        <w:ind w:left="742"/>
        <w:rPr>
          <w:rFonts w:eastAsia="Calibri" w:cs="Arial"/>
          <w:bCs/>
        </w:rPr>
      </w:pPr>
      <w:r w:rsidRPr="00EA7040">
        <w:rPr>
          <w:rFonts w:eastAsia="Calibri" w:cs="Arial"/>
          <w:b/>
          <w:bCs/>
        </w:rPr>
        <w:t>Efektywność inwestycyjna</w:t>
      </w:r>
      <w:r w:rsidRPr="00EA7040">
        <w:rPr>
          <w:rFonts w:eastAsia="Calibri" w:cs="Arial"/>
          <w:bCs/>
        </w:rPr>
        <w:t xml:space="preserve"> – efektywne wydatkowanie środków krajowych i unijnych na rozwój infrastruktury kolejowej.</w:t>
      </w:r>
    </w:p>
    <w:p w14:paraId="614E7EE6" w14:textId="77777777" w:rsidR="00EA7040" w:rsidRPr="00EA7040" w:rsidRDefault="00EA7040" w:rsidP="00EA7040">
      <w:pPr>
        <w:numPr>
          <w:ilvl w:val="0"/>
          <w:numId w:val="4"/>
        </w:numPr>
        <w:spacing w:before="120" w:after="120" w:line="360" w:lineRule="auto"/>
        <w:ind w:left="742"/>
        <w:rPr>
          <w:rFonts w:eastAsia="Calibri" w:cs="Arial"/>
          <w:bCs/>
        </w:rPr>
      </w:pPr>
      <w:r w:rsidRPr="00EA7040">
        <w:rPr>
          <w:rFonts w:eastAsia="Calibri" w:cs="Arial"/>
          <w:b/>
          <w:bCs/>
        </w:rPr>
        <w:t>Zintegrowany system zasilania</w:t>
      </w:r>
      <w:r w:rsidRPr="00EA7040">
        <w:rPr>
          <w:rFonts w:eastAsia="Calibri" w:cs="Arial"/>
          <w:bCs/>
        </w:rPr>
        <w:t xml:space="preserve"> – zapewnienie zgodności systemu zasilania 3 </w:t>
      </w:r>
      <w:proofErr w:type="spellStart"/>
      <w:r w:rsidRPr="00EA7040">
        <w:rPr>
          <w:rFonts w:eastAsia="Calibri" w:cs="Arial"/>
          <w:bCs/>
        </w:rPr>
        <w:t>kV</w:t>
      </w:r>
      <w:proofErr w:type="spellEnd"/>
      <w:r w:rsidRPr="00EA7040">
        <w:rPr>
          <w:rFonts w:eastAsia="Calibri" w:cs="Arial"/>
          <w:bCs/>
        </w:rPr>
        <w:t xml:space="preserve"> DC z wymaganiami interoperacyjności.</w:t>
      </w:r>
    </w:p>
    <w:p w14:paraId="4940BF5F" w14:textId="5898EB75" w:rsidR="00AF4E83" w:rsidRDefault="00EA7040" w:rsidP="00EA7040">
      <w:pPr>
        <w:spacing w:before="120" w:after="120" w:line="360" w:lineRule="auto"/>
        <w:rPr>
          <w:rFonts w:eastAsia="Calibri" w:cs="Arial"/>
          <w:bCs/>
        </w:rPr>
      </w:pPr>
      <w:r w:rsidRPr="00EA7040">
        <w:rPr>
          <w:rFonts w:eastAsia="Calibri" w:cs="Arial"/>
          <w:b/>
          <w:bCs/>
        </w:rPr>
        <w:t>Certyfikacja podsystemu Energia</w:t>
      </w:r>
      <w:r w:rsidRPr="00EA7040">
        <w:rPr>
          <w:rFonts w:eastAsia="Calibri" w:cs="Arial"/>
          <w:bCs/>
        </w:rPr>
        <w:t xml:space="preserve"> – podjęcie działań w celu certyfikacji podsystemu Energia, co jest niezbędne do utrzymania wysokiej jakości usług kolejowych.</w:t>
      </w:r>
    </w:p>
    <w:p w14:paraId="4BDA8709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2B352560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413FAB54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09BEB88C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327B6605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48854628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0FD27D97" w14:textId="4305972C" w:rsidR="00EA7040" w:rsidRDefault="00EA7040" w:rsidP="00EA7040">
      <w:pPr>
        <w:spacing w:line="276" w:lineRule="auto"/>
      </w:pPr>
      <w:r w:rsidRPr="000E5363">
        <w:rPr>
          <w:rStyle w:val="Pogrubienie"/>
          <w:color w:val="1A1A1A"/>
        </w:rPr>
        <w:t>Kontakt dla mediów:</w:t>
      </w:r>
    </w:p>
    <w:p w14:paraId="1928C773" w14:textId="77777777" w:rsidR="00EA7040" w:rsidRDefault="00EA7040" w:rsidP="00EA7040">
      <w:pPr>
        <w:spacing w:line="276" w:lineRule="auto"/>
      </w:pPr>
      <w:r>
        <w:t>Magdalena Janus</w:t>
      </w:r>
      <w:r w:rsidRPr="000E5363">
        <w:br/>
        <w:t>zespół prasowy</w:t>
      </w:r>
      <w:r w:rsidRPr="000E5363">
        <w:br/>
      </w:r>
      <w:r w:rsidRPr="00386878">
        <w:rPr>
          <w:rStyle w:val="Pogrubienie"/>
          <w:b w:val="0"/>
          <w:bCs w:val="0"/>
          <w:color w:val="1A1A1A"/>
        </w:rPr>
        <w:t>PKP Polskie Linie Kolejowe S.A.</w:t>
      </w:r>
      <w:r w:rsidRPr="000E5363">
        <w:br/>
      </w:r>
      <w:hyperlink r:id="rId8" w:history="1">
        <w:r w:rsidRPr="007E608E">
          <w:rPr>
            <w:rStyle w:val="Hipercze"/>
          </w:rPr>
          <w:t>rzecznik@plk-sa.pl</w:t>
        </w:r>
      </w:hyperlink>
      <w:r>
        <w:t xml:space="preserve"> </w:t>
      </w:r>
      <w:r w:rsidRPr="000E5363">
        <w:br/>
        <w:t>T: + 22 473 30 02</w:t>
      </w:r>
    </w:p>
    <w:p w14:paraId="4C784617" w14:textId="27E5C38B" w:rsidR="00EA7040" w:rsidRDefault="00EA7040" w:rsidP="00EA7040">
      <w:pPr>
        <w:spacing w:line="276" w:lineRule="auto"/>
      </w:pPr>
      <w:r w:rsidRPr="00464096">
        <w:rPr>
          <w:rFonts w:eastAsia="Verdana" w:cs="Arial"/>
          <w:color w:val="000000"/>
        </w:rPr>
        <w:t>Konrad Mróz</w:t>
      </w:r>
      <w:r w:rsidRPr="00464096">
        <w:rPr>
          <w:rFonts w:eastAsia="Verdana" w:cs="Arial"/>
          <w:color w:val="000000"/>
        </w:rPr>
        <w:br/>
        <w:t xml:space="preserve">Biuro Prasowe Grupy PGE </w:t>
      </w:r>
      <w:r w:rsidRPr="00464096">
        <w:rPr>
          <w:rFonts w:eastAsia="Verdana" w:cs="Arial"/>
          <w:color w:val="000000"/>
        </w:rPr>
        <w:br/>
        <w:t>tel. kom. 785 999 946</w:t>
      </w:r>
      <w:r w:rsidRPr="00464096">
        <w:rPr>
          <w:rFonts w:eastAsia="Verdana" w:cs="Arial"/>
          <w:color w:val="000000"/>
        </w:rPr>
        <w:br/>
        <w:t xml:space="preserve">e-mail: </w:t>
      </w:r>
      <w:hyperlink r:id="rId9" w:history="1">
        <w:r w:rsidRPr="00464096">
          <w:rPr>
            <w:rStyle w:val="Hipercze"/>
            <w:rFonts w:eastAsia="Verdana" w:cs="Arial"/>
          </w:rPr>
          <w:t>biuro.prasowe@gkpge.pl</w:t>
        </w:r>
      </w:hyperlink>
    </w:p>
    <w:p w14:paraId="4241FE83" w14:textId="77777777" w:rsidR="00EA7040" w:rsidRPr="00EA7040" w:rsidRDefault="00EA7040" w:rsidP="00EA7040">
      <w:pPr>
        <w:spacing w:before="120" w:after="120" w:line="360" w:lineRule="auto"/>
        <w:rPr>
          <w:rStyle w:val="Pogrubienie"/>
          <w:rFonts w:cs="Arial"/>
          <w:color w:val="1A1A1A"/>
        </w:rPr>
      </w:pPr>
    </w:p>
    <w:p w14:paraId="1724E45E" w14:textId="7D59B91F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761FC555" w14:textId="77777777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61DA53B6" w14:textId="0FCA5918" w:rsidR="005C2699" w:rsidRDefault="005C2699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3DBF11E5" w14:textId="6AADD4CE" w:rsidR="005C2699" w:rsidRPr="00CC0B87" w:rsidRDefault="00CC0B87" w:rsidP="00DE6693">
      <w:pPr>
        <w:spacing w:after="0" w:line="240" w:lineRule="auto"/>
        <w:rPr>
          <w:b/>
          <w:bCs/>
          <w:color w:val="1A1A1A"/>
          <w:sz w:val="21"/>
          <w:szCs w:val="21"/>
          <w:shd w:val="clear" w:color="auto" w:fill="FFFFFF"/>
        </w:rPr>
      </w:pPr>
      <w:r>
        <w:rPr>
          <w:b/>
          <w:bCs/>
          <w:color w:val="1A1A1A"/>
          <w:sz w:val="21"/>
          <w:szCs w:val="21"/>
          <w:shd w:val="clear" w:color="auto" w:fill="FFFFFF"/>
        </w:rPr>
        <w:t xml:space="preserve"> </w:t>
      </w:r>
    </w:p>
    <w:sectPr w:rsidR="005C2699" w:rsidRPr="00CC0B8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ED5F" w14:textId="77777777" w:rsidR="00297EE1" w:rsidRDefault="00297EE1" w:rsidP="009D1AEB">
      <w:pPr>
        <w:spacing w:after="0" w:line="240" w:lineRule="auto"/>
      </w:pPr>
      <w:r>
        <w:separator/>
      </w:r>
    </w:p>
  </w:endnote>
  <w:endnote w:type="continuationSeparator" w:id="0">
    <w:p w14:paraId="37AC0225" w14:textId="77777777" w:rsidR="00297EE1" w:rsidRDefault="00297EE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1B61EC7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B1729B">
      <w:rPr>
        <w:rFonts w:cs="Arial"/>
        <w:color w:val="727271"/>
        <w:sz w:val="14"/>
        <w:szCs w:val="14"/>
      </w:rPr>
      <w:t>3</w:t>
    </w:r>
    <w:r w:rsidRPr="00B77919">
      <w:rPr>
        <w:rFonts w:cs="Arial"/>
        <w:color w:val="727271"/>
        <w:sz w:val="14"/>
        <w:szCs w:val="14"/>
      </w:rPr>
      <w:t>.</w:t>
    </w:r>
    <w:r w:rsidR="00B1729B">
      <w:rPr>
        <w:rFonts w:cs="Arial"/>
        <w:color w:val="727271"/>
        <w:sz w:val="14"/>
        <w:szCs w:val="14"/>
      </w:rPr>
      <w:t>335</w:t>
    </w:r>
    <w:r w:rsidRPr="00B77919">
      <w:rPr>
        <w:rFonts w:cs="Arial"/>
        <w:color w:val="727271"/>
        <w:sz w:val="14"/>
        <w:szCs w:val="14"/>
      </w:rPr>
      <w:t>.</w:t>
    </w:r>
    <w:r w:rsidR="00B1729B"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C527" w14:textId="77777777" w:rsidR="00297EE1" w:rsidRDefault="00297EE1" w:rsidP="009D1AEB">
      <w:pPr>
        <w:spacing w:after="0" w:line="240" w:lineRule="auto"/>
      </w:pPr>
      <w:r>
        <w:separator/>
      </w:r>
    </w:p>
  </w:footnote>
  <w:footnote w:type="continuationSeparator" w:id="0">
    <w:p w14:paraId="7F79E97F" w14:textId="77777777" w:rsidR="00297EE1" w:rsidRDefault="00297EE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3"/>
  </w:num>
  <w:num w:numId="4" w16cid:durableId="75648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459C9"/>
    <w:rsid w:val="00046259"/>
    <w:rsid w:val="00050784"/>
    <w:rsid w:val="000516CE"/>
    <w:rsid w:val="00061CC0"/>
    <w:rsid w:val="00063232"/>
    <w:rsid w:val="00064201"/>
    <w:rsid w:val="00064DFC"/>
    <w:rsid w:val="0006550C"/>
    <w:rsid w:val="00080D05"/>
    <w:rsid w:val="00084E6E"/>
    <w:rsid w:val="00085A44"/>
    <w:rsid w:val="0009124D"/>
    <w:rsid w:val="0009194D"/>
    <w:rsid w:val="00095835"/>
    <w:rsid w:val="000A372E"/>
    <w:rsid w:val="000A6323"/>
    <w:rsid w:val="000B0027"/>
    <w:rsid w:val="000B01E2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D7EBE"/>
    <w:rsid w:val="000D7FB6"/>
    <w:rsid w:val="000E19F7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44F"/>
    <w:rsid w:val="00111228"/>
    <w:rsid w:val="001160FF"/>
    <w:rsid w:val="00121804"/>
    <w:rsid w:val="00124192"/>
    <w:rsid w:val="00126290"/>
    <w:rsid w:val="001300B0"/>
    <w:rsid w:val="00134EFB"/>
    <w:rsid w:val="00135076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0AD2"/>
    <w:rsid w:val="001737AC"/>
    <w:rsid w:val="00175F9D"/>
    <w:rsid w:val="00180A0E"/>
    <w:rsid w:val="00181870"/>
    <w:rsid w:val="00184F86"/>
    <w:rsid w:val="00187418"/>
    <w:rsid w:val="00187FDC"/>
    <w:rsid w:val="00196013"/>
    <w:rsid w:val="0019759D"/>
    <w:rsid w:val="001A192A"/>
    <w:rsid w:val="001A19A9"/>
    <w:rsid w:val="001A5703"/>
    <w:rsid w:val="001A6EC6"/>
    <w:rsid w:val="001B3E9A"/>
    <w:rsid w:val="001B6DD4"/>
    <w:rsid w:val="001C2C32"/>
    <w:rsid w:val="001D35D3"/>
    <w:rsid w:val="001D3D94"/>
    <w:rsid w:val="001D3E02"/>
    <w:rsid w:val="001D4378"/>
    <w:rsid w:val="001E2FF1"/>
    <w:rsid w:val="001E308B"/>
    <w:rsid w:val="001F127D"/>
    <w:rsid w:val="001F631D"/>
    <w:rsid w:val="00201553"/>
    <w:rsid w:val="00203132"/>
    <w:rsid w:val="00205716"/>
    <w:rsid w:val="00205BDF"/>
    <w:rsid w:val="0021012E"/>
    <w:rsid w:val="00216BE2"/>
    <w:rsid w:val="00220639"/>
    <w:rsid w:val="00220770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2038"/>
    <w:rsid w:val="00252D27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94E62"/>
    <w:rsid w:val="00295A42"/>
    <w:rsid w:val="00297EE1"/>
    <w:rsid w:val="002A14B2"/>
    <w:rsid w:val="002B0036"/>
    <w:rsid w:val="002B1CF5"/>
    <w:rsid w:val="002B2070"/>
    <w:rsid w:val="002B3FFE"/>
    <w:rsid w:val="002D0307"/>
    <w:rsid w:val="002D1FC3"/>
    <w:rsid w:val="002D22A6"/>
    <w:rsid w:val="002D4131"/>
    <w:rsid w:val="002D7142"/>
    <w:rsid w:val="002E4E2A"/>
    <w:rsid w:val="002E69BE"/>
    <w:rsid w:val="002E6DBA"/>
    <w:rsid w:val="002F368F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26C3D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67DA6"/>
    <w:rsid w:val="00367E6B"/>
    <w:rsid w:val="00377919"/>
    <w:rsid w:val="00383889"/>
    <w:rsid w:val="0038666F"/>
    <w:rsid w:val="00391E46"/>
    <w:rsid w:val="00392B24"/>
    <w:rsid w:val="00394E45"/>
    <w:rsid w:val="00396A20"/>
    <w:rsid w:val="003A6431"/>
    <w:rsid w:val="003B1CA1"/>
    <w:rsid w:val="003B22AA"/>
    <w:rsid w:val="003B3CD6"/>
    <w:rsid w:val="003B76C5"/>
    <w:rsid w:val="003C1A6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031E8"/>
    <w:rsid w:val="0041416B"/>
    <w:rsid w:val="00415157"/>
    <w:rsid w:val="0042197E"/>
    <w:rsid w:val="00421DA2"/>
    <w:rsid w:val="00423805"/>
    <w:rsid w:val="00424806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73DB5"/>
    <w:rsid w:val="00474375"/>
    <w:rsid w:val="004762F0"/>
    <w:rsid w:val="004813B5"/>
    <w:rsid w:val="00482D89"/>
    <w:rsid w:val="00483777"/>
    <w:rsid w:val="00483E17"/>
    <w:rsid w:val="00485165"/>
    <w:rsid w:val="004909B1"/>
    <w:rsid w:val="00494969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B6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52BD"/>
    <w:rsid w:val="00527F37"/>
    <w:rsid w:val="00540F91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84522"/>
    <w:rsid w:val="00586D9E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2699"/>
    <w:rsid w:val="005C6D86"/>
    <w:rsid w:val="005D19E0"/>
    <w:rsid w:val="005D2EE8"/>
    <w:rsid w:val="005D3612"/>
    <w:rsid w:val="005E01A7"/>
    <w:rsid w:val="005E02D8"/>
    <w:rsid w:val="005E1A5D"/>
    <w:rsid w:val="005E2F7E"/>
    <w:rsid w:val="005E542C"/>
    <w:rsid w:val="005F51CB"/>
    <w:rsid w:val="005F6D66"/>
    <w:rsid w:val="00600453"/>
    <w:rsid w:val="00600743"/>
    <w:rsid w:val="00605363"/>
    <w:rsid w:val="0060665A"/>
    <w:rsid w:val="00607747"/>
    <w:rsid w:val="006126C8"/>
    <w:rsid w:val="00613D6A"/>
    <w:rsid w:val="00616540"/>
    <w:rsid w:val="006202DB"/>
    <w:rsid w:val="00624151"/>
    <w:rsid w:val="006320DE"/>
    <w:rsid w:val="00633BA0"/>
    <w:rsid w:val="00635BF6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66901"/>
    <w:rsid w:val="006702CE"/>
    <w:rsid w:val="006710EA"/>
    <w:rsid w:val="00671F5B"/>
    <w:rsid w:val="006746D2"/>
    <w:rsid w:val="006759D3"/>
    <w:rsid w:val="00676354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C78A7"/>
    <w:rsid w:val="006D04A6"/>
    <w:rsid w:val="006D1743"/>
    <w:rsid w:val="006D398A"/>
    <w:rsid w:val="006D5241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363AC"/>
    <w:rsid w:val="007470D9"/>
    <w:rsid w:val="00752879"/>
    <w:rsid w:val="0076386D"/>
    <w:rsid w:val="00765C1C"/>
    <w:rsid w:val="00766510"/>
    <w:rsid w:val="00767F05"/>
    <w:rsid w:val="00770153"/>
    <w:rsid w:val="00770E4C"/>
    <w:rsid w:val="00772DD4"/>
    <w:rsid w:val="0078340C"/>
    <w:rsid w:val="00787D36"/>
    <w:rsid w:val="007903DE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FDE"/>
    <w:rsid w:val="007C3177"/>
    <w:rsid w:val="007C3182"/>
    <w:rsid w:val="007C4084"/>
    <w:rsid w:val="007C48D5"/>
    <w:rsid w:val="007D4D6F"/>
    <w:rsid w:val="007D4E6B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3F56"/>
    <w:rsid w:val="00834C77"/>
    <w:rsid w:val="00841078"/>
    <w:rsid w:val="00846694"/>
    <w:rsid w:val="008504D6"/>
    <w:rsid w:val="00851216"/>
    <w:rsid w:val="00860074"/>
    <w:rsid w:val="008635F1"/>
    <w:rsid w:val="0087097F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901E5C"/>
    <w:rsid w:val="0090341E"/>
    <w:rsid w:val="00905400"/>
    <w:rsid w:val="00906C4C"/>
    <w:rsid w:val="00907840"/>
    <w:rsid w:val="00913C0A"/>
    <w:rsid w:val="00917E11"/>
    <w:rsid w:val="0092150B"/>
    <w:rsid w:val="009226E0"/>
    <w:rsid w:val="0092338E"/>
    <w:rsid w:val="00925D88"/>
    <w:rsid w:val="00926680"/>
    <w:rsid w:val="0093328E"/>
    <w:rsid w:val="00936B17"/>
    <w:rsid w:val="009408BD"/>
    <w:rsid w:val="0095106F"/>
    <w:rsid w:val="009532EC"/>
    <w:rsid w:val="00962ECE"/>
    <w:rsid w:val="0096337B"/>
    <w:rsid w:val="00964670"/>
    <w:rsid w:val="00966540"/>
    <w:rsid w:val="009666B6"/>
    <w:rsid w:val="009671E6"/>
    <w:rsid w:val="009700F4"/>
    <w:rsid w:val="00970A21"/>
    <w:rsid w:val="00976F36"/>
    <w:rsid w:val="00987CD6"/>
    <w:rsid w:val="0099094C"/>
    <w:rsid w:val="009935E0"/>
    <w:rsid w:val="00993F22"/>
    <w:rsid w:val="00995E07"/>
    <w:rsid w:val="009976BB"/>
    <w:rsid w:val="009A1EF4"/>
    <w:rsid w:val="009A66CD"/>
    <w:rsid w:val="009B4C92"/>
    <w:rsid w:val="009D11BA"/>
    <w:rsid w:val="009D1738"/>
    <w:rsid w:val="009D1AEB"/>
    <w:rsid w:val="009D6F1F"/>
    <w:rsid w:val="009E3737"/>
    <w:rsid w:val="009E45BA"/>
    <w:rsid w:val="009F464C"/>
    <w:rsid w:val="00A005B8"/>
    <w:rsid w:val="00A03E6C"/>
    <w:rsid w:val="00A057B5"/>
    <w:rsid w:val="00A13BB0"/>
    <w:rsid w:val="00A14DBA"/>
    <w:rsid w:val="00A15A84"/>
    <w:rsid w:val="00A15AED"/>
    <w:rsid w:val="00A21A32"/>
    <w:rsid w:val="00A22537"/>
    <w:rsid w:val="00A23C8B"/>
    <w:rsid w:val="00A241D0"/>
    <w:rsid w:val="00A3348F"/>
    <w:rsid w:val="00A346C9"/>
    <w:rsid w:val="00A42B26"/>
    <w:rsid w:val="00A44052"/>
    <w:rsid w:val="00A46DF0"/>
    <w:rsid w:val="00A52B28"/>
    <w:rsid w:val="00A54080"/>
    <w:rsid w:val="00A54163"/>
    <w:rsid w:val="00A567B1"/>
    <w:rsid w:val="00A61326"/>
    <w:rsid w:val="00A64158"/>
    <w:rsid w:val="00A64E86"/>
    <w:rsid w:val="00A73620"/>
    <w:rsid w:val="00A73E11"/>
    <w:rsid w:val="00A8112B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03BA"/>
    <w:rsid w:val="00AB543E"/>
    <w:rsid w:val="00AC0F10"/>
    <w:rsid w:val="00AC1492"/>
    <w:rsid w:val="00AC3CE6"/>
    <w:rsid w:val="00AC4E15"/>
    <w:rsid w:val="00AC5D2A"/>
    <w:rsid w:val="00AD3E13"/>
    <w:rsid w:val="00AE0131"/>
    <w:rsid w:val="00AF1827"/>
    <w:rsid w:val="00AF1C76"/>
    <w:rsid w:val="00AF4E83"/>
    <w:rsid w:val="00AF6412"/>
    <w:rsid w:val="00B0331B"/>
    <w:rsid w:val="00B05179"/>
    <w:rsid w:val="00B163BC"/>
    <w:rsid w:val="00B1729B"/>
    <w:rsid w:val="00B22676"/>
    <w:rsid w:val="00B245BD"/>
    <w:rsid w:val="00B27896"/>
    <w:rsid w:val="00B32F89"/>
    <w:rsid w:val="00B338D5"/>
    <w:rsid w:val="00B42136"/>
    <w:rsid w:val="00B44B05"/>
    <w:rsid w:val="00B517F6"/>
    <w:rsid w:val="00B57001"/>
    <w:rsid w:val="00B616D9"/>
    <w:rsid w:val="00B63758"/>
    <w:rsid w:val="00B6559E"/>
    <w:rsid w:val="00B66F51"/>
    <w:rsid w:val="00B836DF"/>
    <w:rsid w:val="00B862F5"/>
    <w:rsid w:val="00B95D33"/>
    <w:rsid w:val="00B95E4E"/>
    <w:rsid w:val="00B962AA"/>
    <w:rsid w:val="00BA0449"/>
    <w:rsid w:val="00BA3611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054D"/>
    <w:rsid w:val="00C14186"/>
    <w:rsid w:val="00C14583"/>
    <w:rsid w:val="00C15016"/>
    <w:rsid w:val="00C164F7"/>
    <w:rsid w:val="00C16617"/>
    <w:rsid w:val="00C17C3A"/>
    <w:rsid w:val="00C2286D"/>
    <w:rsid w:val="00C241B4"/>
    <w:rsid w:val="00C316A4"/>
    <w:rsid w:val="00C3768C"/>
    <w:rsid w:val="00C42AF3"/>
    <w:rsid w:val="00C43AF4"/>
    <w:rsid w:val="00C43B12"/>
    <w:rsid w:val="00C46BD0"/>
    <w:rsid w:val="00C518A8"/>
    <w:rsid w:val="00C51EAD"/>
    <w:rsid w:val="00C55DAD"/>
    <w:rsid w:val="00C66B4F"/>
    <w:rsid w:val="00C75038"/>
    <w:rsid w:val="00C802A6"/>
    <w:rsid w:val="00C80E21"/>
    <w:rsid w:val="00C81FF5"/>
    <w:rsid w:val="00C83962"/>
    <w:rsid w:val="00C861D0"/>
    <w:rsid w:val="00C87273"/>
    <w:rsid w:val="00C92002"/>
    <w:rsid w:val="00C92358"/>
    <w:rsid w:val="00C951AA"/>
    <w:rsid w:val="00C958DB"/>
    <w:rsid w:val="00CA0412"/>
    <w:rsid w:val="00CA1410"/>
    <w:rsid w:val="00CA1F2F"/>
    <w:rsid w:val="00CA3B04"/>
    <w:rsid w:val="00CA4DBA"/>
    <w:rsid w:val="00CA553F"/>
    <w:rsid w:val="00CB70F8"/>
    <w:rsid w:val="00CC0B87"/>
    <w:rsid w:val="00CC2CD9"/>
    <w:rsid w:val="00CC3C05"/>
    <w:rsid w:val="00CC59BF"/>
    <w:rsid w:val="00CD0BB0"/>
    <w:rsid w:val="00CD2DC7"/>
    <w:rsid w:val="00CD3409"/>
    <w:rsid w:val="00CD5C1E"/>
    <w:rsid w:val="00CD6057"/>
    <w:rsid w:val="00CD635E"/>
    <w:rsid w:val="00CD7FC6"/>
    <w:rsid w:val="00CE45B6"/>
    <w:rsid w:val="00CE4B2C"/>
    <w:rsid w:val="00CE50B8"/>
    <w:rsid w:val="00CF312F"/>
    <w:rsid w:val="00CF3B22"/>
    <w:rsid w:val="00CF5485"/>
    <w:rsid w:val="00CF72F5"/>
    <w:rsid w:val="00D004B0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460A"/>
    <w:rsid w:val="00D66711"/>
    <w:rsid w:val="00D706B3"/>
    <w:rsid w:val="00D74CD3"/>
    <w:rsid w:val="00D769EB"/>
    <w:rsid w:val="00D81C0A"/>
    <w:rsid w:val="00D849A6"/>
    <w:rsid w:val="00D85019"/>
    <w:rsid w:val="00D860F1"/>
    <w:rsid w:val="00D9065E"/>
    <w:rsid w:val="00DA427B"/>
    <w:rsid w:val="00DA5173"/>
    <w:rsid w:val="00DB055D"/>
    <w:rsid w:val="00DB38F3"/>
    <w:rsid w:val="00DB432D"/>
    <w:rsid w:val="00DC0CE2"/>
    <w:rsid w:val="00DC3CDC"/>
    <w:rsid w:val="00DC5765"/>
    <w:rsid w:val="00DC73AB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134F"/>
    <w:rsid w:val="00E049CE"/>
    <w:rsid w:val="00E115BF"/>
    <w:rsid w:val="00E23500"/>
    <w:rsid w:val="00E25A09"/>
    <w:rsid w:val="00E336BB"/>
    <w:rsid w:val="00E33AE0"/>
    <w:rsid w:val="00E455D2"/>
    <w:rsid w:val="00E5062D"/>
    <w:rsid w:val="00E52889"/>
    <w:rsid w:val="00E54A78"/>
    <w:rsid w:val="00E60D78"/>
    <w:rsid w:val="00E61975"/>
    <w:rsid w:val="00E63DC0"/>
    <w:rsid w:val="00E65023"/>
    <w:rsid w:val="00E70E31"/>
    <w:rsid w:val="00E74E88"/>
    <w:rsid w:val="00E77A60"/>
    <w:rsid w:val="00E80629"/>
    <w:rsid w:val="00E8285A"/>
    <w:rsid w:val="00E9508A"/>
    <w:rsid w:val="00EA225D"/>
    <w:rsid w:val="00EA58ED"/>
    <w:rsid w:val="00EA5D6F"/>
    <w:rsid w:val="00EA7017"/>
    <w:rsid w:val="00EA7040"/>
    <w:rsid w:val="00EB38D4"/>
    <w:rsid w:val="00EB3B27"/>
    <w:rsid w:val="00EB3E6F"/>
    <w:rsid w:val="00EB5D4A"/>
    <w:rsid w:val="00EB6E35"/>
    <w:rsid w:val="00EC1F26"/>
    <w:rsid w:val="00EC48EF"/>
    <w:rsid w:val="00EC788A"/>
    <w:rsid w:val="00ED06B6"/>
    <w:rsid w:val="00ED55B8"/>
    <w:rsid w:val="00ED57EB"/>
    <w:rsid w:val="00EE0F43"/>
    <w:rsid w:val="00EE0F53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1720"/>
    <w:rsid w:val="00F43291"/>
    <w:rsid w:val="00F50857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3244"/>
    <w:rsid w:val="00F87D53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3647"/>
    <w:rsid w:val="00FD696D"/>
    <w:rsid w:val="00FE0CCA"/>
    <w:rsid w:val="00FE2F54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.prasowe@gkpg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i PGE Energetyka Kolejowa – razem dla rozwoju nowoczesnej kolei w Polsce</vt:lpstr>
    </vt:vector>
  </TitlesOfParts>
  <Company>PKP PLK S.A.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i PGE Energetyka Kolejowa – razem dla rozwoju nowoczesnej kolei w Polsce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2025-03-04T11:06:00Z</dcterms:created>
  <dcterms:modified xsi:type="dcterms:W3CDTF">2025-03-04T11:06:00Z</dcterms:modified>
</cp:coreProperties>
</file>