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30" w:rsidRDefault="003F5130" w:rsidP="002D790E">
      <w:pPr>
        <w:jc w:val="both"/>
        <w:rPr>
          <w:rFonts w:ascii="Arial" w:hAnsi="Arial" w:cs="Arial"/>
          <w:b/>
          <w:sz w:val="16"/>
          <w:szCs w:val="16"/>
        </w:rPr>
      </w:pPr>
    </w:p>
    <w:p w:rsidR="009939C9" w:rsidRPr="004D6EC9" w:rsidRDefault="009939C9" w:rsidP="002D790E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2D79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2D790E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2D790E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2D790E">
      <w:pPr>
        <w:jc w:val="both"/>
        <w:rPr>
          <w:rFonts w:ascii="Arial" w:hAnsi="Arial" w:cs="Arial"/>
          <w:b/>
          <w:sz w:val="16"/>
          <w:szCs w:val="16"/>
        </w:rPr>
      </w:pPr>
    </w:p>
    <w:p w:rsidR="00774113" w:rsidRPr="00BA22E3" w:rsidRDefault="00774113" w:rsidP="002D7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BA22E3">
        <w:rPr>
          <w:rFonts w:ascii="Arial" w:hAnsi="Arial" w:cs="Arial"/>
          <w:sz w:val="22"/>
          <w:szCs w:val="22"/>
        </w:rPr>
        <w:t xml:space="preserve">         </w:t>
      </w:r>
      <w:r w:rsidR="005A20F1" w:rsidRPr="00BA22E3">
        <w:rPr>
          <w:rFonts w:ascii="Arial" w:hAnsi="Arial" w:cs="Arial"/>
          <w:sz w:val="22"/>
          <w:szCs w:val="22"/>
        </w:rPr>
        <w:t xml:space="preserve">       </w:t>
      </w:r>
      <w:r w:rsidR="00964B84" w:rsidRPr="00BA22E3">
        <w:rPr>
          <w:rFonts w:ascii="Arial" w:hAnsi="Arial" w:cs="Arial"/>
          <w:sz w:val="22"/>
          <w:szCs w:val="22"/>
        </w:rPr>
        <w:t>Warszawa</w:t>
      </w:r>
      <w:r w:rsidRPr="00BA22E3">
        <w:rPr>
          <w:rFonts w:ascii="Arial" w:hAnsi="Arial" w:cs="Arial"/>
          <w:sz w:val="22"/>
          <w:szCs w:val="22"/>
        </w:rPr>
        <w:t xml:space="preserve">, </w:t>
      </w:r>
      <w:r w:rsidR="009406FE">
        <w:rPr>
          <w:rFonts w:ascii="Arial" w:hAnsi="Arial" w:cs="Arial"/>
          <w:sz w:val="22"/>
          <w:szCs w:val="22"/>
        </w:rPr>
        <w:t>7 sierpnia</w:t>
      </w:r>
      <w:r w:rsidR="00E67557" w:rsidRPr="00BA22E3">
        <w:rPr>
          <w:rFonts w:ascii="Arial" w:hAnsi="Arial" w:cs="Arial"/>
          <w:sz w:val="22"/>
          <w:szCs w:val="22"/>
        </w:rPr>
        <w:t xml:space="preserve"> </w:t>
      </w:r>
      <w:r w:rsidR="00964B84" w:rsidRPr="00BA22E3">
        <w:rPr>
          <w:rFonts w:ascii="Arial" w:hAnsi="Arial" w:cs="Arial"/>
          <w:sz w:val="22"/>
          <w:szCs w:val="22"/>
        </w:rPr>
        <w:t>201</w:t>
      </w:r>
      <w:r w:rsidR="00504BF6">
        <w:rPr>
          <w:rFonts w:ascii="Arial" w:hAnsi="Arial" w:cs="Arial"/>
          <w:sz w:val="22"/>
          <w:szCs w:val="22"/>
        </w:rPr>
        <w:t>9</w:t>
      </w:r>
      <w:r w:rsidR="00701F33" w:rsidRPr="00BA22E3">
        <w:rPr>
          <w:rFonts w:ascii="Arial" w:hAnsi="Arial" w:cs="Arial"/>
          <w:sz w:val="22"/>
          <w:szCs w:val="22"/>
        </w:rPr>
        <w:t xml:space="preserve"> </w:t>
      </w:r>
      <w:r w:rsidR="00964B84" w:rsidRPr="00BA22E3">
        <w:rPr>
          <w:rFonts w:ascii="Arial" w:hAnsi="Arial" w:cs="Arial"/>
          <w:sz w:val="22"/>
          <w:szCs w:val="22"/>
        </w:rPr>
        <w:t xml:space="preserve">r. </w:t>
      </w:r>
    </w:p>
    <w:p w:rsidR="006B0DBA" w:rsidRPr="00BA22E3" w:rsidRDefault="006B0DBA" w:rsidP="002D790E">
      <w:pPr>
        <w:spacing w:line="360" w:lineRule="auto"/>
        <w:jc w:val="both"/>
        <w:rPr>
          <w:sz w:val="22"/>
          <w:szCs w:val="22"/>
        </w:rPr>
      </w:pPr>
    </w:p>
    <w:p w:rsidR="001C4F53" w:rsidRDefault="00964B84" w:rsidP="002D790E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2E3">
        <w:rPr>
          <w:rFonts w:ascii="Arial" w:hAnsi="Arial" w:cs="Arial"/>
          <w:b/>
          <w:sz w:val="22"/>
          <w:szCs w:val="22"/>
        </w:rPr>
        <w:t>Informacja prasowa</w:t>
      </w:r>
    </w:p>
    <w:p w:rsidR="00CD41B2" w:rsidRDefault="00CD41B2" w:rsidP="00CD41B2">
      <w:pPr>
        <w:spacing w:after="1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Kolej ułatwia komunikację na Podlasiu </w:t>
      </w:r>
    </w:p>
    <w:p w:rsidR="000424BB" w:rsidRDefault="00BC0100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>S</w:t>
      </w:r>
      <w:r w:rsidR="00E87F68" w:rsidRPr="00E87F68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tacja w Czeremsze zyskuje nowe oblicze.</w:t>
      </w:r>
      <w:r w:rsidR="00E87F68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P</w:t>
      </w:r>
      <w:r w:rsidR="00E87F68" w:rsidRPr="00E87F68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asażerowie korzystają z nowego, wyższego peronu, a sprawne przejazdy zapewnia 11 kompleksowo zmodernizowanych torów. PLK za ponad 177 mln zł szykują bezpieczniejsze i bardziej komfortowe podróże na odcinku Hajnówka – Czeremcha – granica województwa.</w:t>
      </w:r>
      <w:r w:rsidR="009406F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</w:t>
      </w:r>
      <w:r w:rsidR="00866007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Widać już efekty prowadzonych robót. </w:t>
      </w:r>
    </w:p>
    <w:p w:rsidR="00A1307E" w:rsidRDefault="00E87F68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Na stacji w Czeremsze</w:t>
      </w:r>
      <w:r w:rsidRPr="00E87F68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p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asażerowie wsiadają do pociągów z nowego, </w:t>
      </w:r>
      <w:r w:rsidR="00040B3A">
        <w:rPr>
          <w:rFonts w:ascii="Arial" w:eastAsiaTheme="minorHAnsi" w:hAnsi="Arial" w:cs="Arial"/>
          <w:iCs/>
          <w:sz w:val="22"/>
          <w:szCs w:val="22"/>
          <w:lang w:eastAsia="en-US"/>
        </w:rPr>
        <w:t>200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metrowego peronu, wyposażonego w antypoślizgową nawierzchnię. Dzięki wyższej konstrukcji obiektu, wsiadanie i wysiadanie z pociągów jest teraz łatwiejsze. Osobom niewidomym i niedowidzącym 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br/>
        <w:t>w orientacji p</w:t>
      </w:r>
      <w:r w:rsidR="00610DC0">
        <w:rPr>
          <w:rFonts w:ascii="Arial" w:eastAsiaTheme="minorHAnsi" w:hAnsi="Arial" w:cs="Arial"/>
          <w:iCs/>
          <w:sz w:val="22"/>
          <w:szCs w:val="22"/>
          <w:lang w:eastAsia="en-US"/>
        </w:rPr>
        <w:t>omagają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ścieżki dotykowe. Obiekt jest dostosowany do potrzeb osób 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ograniczonej możliwości poruszania się. W </w:t>
      </w:r>
      <w:r w:rsidR="00AB354A">
        <w:rPr>
          <w:rFonts w:ascii="Arial" w:eastAsiaTheme="minorHAnsi" w:hAnsi="Arial" w:cs="Arial"/>
          <w:iCs/>
          <w:sz w:val="22"/>
          <w:szCs w:val="22"/>
          <w:lang w:eastAsia="en-US"/>
        </w:rPr>
        <w:t>sierpniu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peron zostanie komfortowo wyposażony. Będą nowe wiaty, ławki, tablice informacyjne i stojaki rowerowe. </w:t>
      </w:r>
      <w:r w:rsidR="00405746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Drugi nowoczesny peron, tzw. wyspowy z</w:t>
      </w:r>
      <w:r w:rsidR="00AB354A">
        <w:rPr>
          <w:rFonts w:ascii="Arial" w:eastAsiaTheme="minorHAnsi" w:hAnsi="Arial" w:cs="Arial"/>
          <w:iCs/>
          <w:sz w:val="22"/>
          <w:szCs w:val="22"/>
          <w:lang w:eastAsia="en-US"/>
        </w:rPr>
        <w:t>ostanie udostępniony pasażerom we wrześniu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.</w:t>
      </w:r>
    </w:p>
    <w:p w:rsidR="00610DC0" w:rsidRDefault="00866007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P</w:t>
      </w:r>
      <w:r w:rsidR="00AB354A">
        <w:rPr>
          <w:rFonts w:ascii="Arial" w:eastAsiaTheme="minorHAnsi" w:hAnsi="Arial" w:cs="Arial"/>
          <w:iCs/>
          <w:sz w:val="22"/>
          <w:szCs w:val="22"/>
          <w:lang w:eastAsia="en-US"/>
        </w:rPr>
        <w:t>łynny przejazd pociągów</w:t>
      </w:r>
      <w:r w:rsid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przez stację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zapewnia </w:t>
      </w:r>
      <w:r w:rsidRPr="00866007">
        <w:rPr>
          <w:rFonts w:ascii="Arial" w:eastAsiaTheme="minorHAnsi" w:hAnsi="Arial" w:cs="Arial"/>
          <w:iCs/>
          <w:sz w:val="22"/>
          <w:szCs w:val="22"/>
          <w:lang w:eastAsia="en-US"/>
        </w:rPr>
        <w:t>11 kompleksowo zmodernizowanych torów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.</w:t>
      </w:r>
      <w:r w:rsidRPr="00866007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AB354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We wrześniu 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zakończą się prace na kolejnych torach, m.in. przy nowo budowanym peronie wyspowym.</w:t>
      </w:r>
      <w:r w:rsidR="000B6F79" w:rsidRPr="000B6F7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Na stacji powstało </w:t>
      </w:r>
      <w:r w:rsid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także </w:t>
      </w:r>
      <w:r w:rsidR="000B6F79" w:rsidRPr="000B6F79">
        <w:rPr>
          <w:rFonts w:ascii="Arial" w:eastAsiaTheme="minorHAnsi" w:hAnsi="Arial" w:cs="Arial"/>
          <w:iCs/>
          <w:sz w:val="22"/>
          <w:szCs w:val="22"/>
          <w:lang w:eastAsia="en-US"/>
        </w:rPr>
        <w:t>stanowisko do obserwacji wagonów i cystern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>l</w:t>
      </w:r>
      <w:r w:rsidR="000B6F79" w:rsidRPr="000B6F79">
        <w:rPr>
          <w:rFonts w:ascii="Arial" w:eastAsiaTheme="minorHAnsi" w:hAnsi="Arial" w:cs="Arial"/>
          <w:iCs/>
          <w:sz w:val="22"/>
          <w:szCs w:val="22"/>
          <w:lang w:eastAsia="en-US"/>
        </w:rPr>
        <w:t>epszą obsługę pociągów z towarami umożliwia wyremontowana rampa.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B5474F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Wzrosło 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>także bezpieczeństwo</w:t>
      </w:r>
      <w:r w:rsidR="00AB354A">
        <w:rPr>
          <w:rFonts w:ascii="Arial" w:eastAsiaTheme="minorHAnsi" w:hAnsi="Arial" w:cs="Arial"/>
          <w:iCs/>
          <w:sz w:val="22"/>
          <w:szCs w:val="22"/>
          <w:lang w:eastAsia="en-US"/>
        </w:rPr>
        <w:t>,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zięki 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dodatkowemu 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zabezpieczeniu i przebudowie trzech przejazdów kolejowo-drogowych w Cz</w:t>
      </w:r>
      <w:r w:rsidR="000B6F7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eremsze. </w:t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Przejazdy wyposażono w sygnalizację przejazdową, </w:t>
      </w:r>
      <w:r w:rsidR="00B5474F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="00E87F68"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a w ul. Fabrycznej i Bocznej zamontowano rogatki.</w:t>
      </w:r>
      <w:r w:rsid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:rsidR="00A1307E" w:rsidRPr="00A1307E" w:rsidRDefault="00A1307E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A1307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Nowa nastawnia</w:t>
      </w:r>
    </w:p>
    <w:p w:rsidR="00E87F68" w:rsidRPr="00E87F68" w:rsidRDefault="00E87F68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>We wrześniu planowane jest rozpoczęcie budowy nowej nastawni</w:t>
      </w:r>
      <w:r w:rsidRPr="00E87F6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601C9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w Czeremsze. B</w:t>
      </w:r>
      <w:r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udyne</w:t>
      </w:r>
      <w:r w:rsidR="00601C9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k będzie wyposażony w</w:t>
      </w:r>
      <w:r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komputerowe urządzenia sterowania ruchem kolejowym. Inwestycja zapewni bezpieczniejsze i sprawniejsze przejazdy pociągów.</w:t>
      </w:r>
      <w:r w:rsidRPr="00E87F6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Dzięki inwestycjom na stacji </w:t>
      </w:r>
      <w:r w:rsidR="00B5474F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w Czeremsze zyska gospodarka regionu. Będzie możliwość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lepszej </w:t>
      </w:r>
      <w:r w:rsidRPr="00E87F6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obsługi większej liczby pociągów jadących m.in. do Białegostoku czy przejścia granicznego w Siemianówce. </w:t>
      </w:r>
    </w:p>
    <w:p w:rsidR="008925AC" w:rsidRDefault="008925AC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:rsidR="008925AC" w:rsidRDefault="008925AC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:rsidR="000A3C5F" w:rsidRPr="008925AC" w:rsidRDefault="009406FE" w:rsidP="00E87F68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8925A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P</w:t>
      </w:r>
      <w:r w:rsidR="008925AC" w:rsidRPr="008925A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KP Polskie Linie Kolejowe S.A.</w:t>
      </w:r>
      <w:r w:rsidRPr="008925A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za ponad 177 mln zł szykują bezpieczniejsze</w:t>
      </w:r>
      <w:r w:rsidR="008925AC" w:rsidRPr="008925A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i bardziej komfortowe podróże </w:t>
      </w:r>
      <w:r w:rsidRPr="008925A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na odcinku Hajnówka – Czeremcha – granica województwa.</w:t>
      </w:r>
      <w:r w:rsidRP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Podróżni korzys</w:t>
      </w:r>
      <w:r w:rsidR="008925A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tają </w:t>
      </w:r>
      <w:r w:rsidRP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już z efektów inwestycji. </w:t>
      </w:r>
      <w:r w:rsidR="00827FE7" w:rsidRP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 nowych peronów </w:t>
      </w:r>
      <w:r w:rsid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pasażerowie wsiadają </w:t>
      </w:r>
      <w:r w:rsidR="00B5474F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 w:rsidR="00827FE7" w:rsidRPr="00610DC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 pociągów nie tylko w Czeremsze ale także w </w:t>
      </w:r>
      <w:r w:rsidR="00BC0100">
        <w:rPr>
          <w:rFonts w:ascii="Arial" w:eastAsiaTheme="minorHAnsi" w:hAnsi="Arial" w:cs="Arial"/>
          <w:iCs/>
          <w:sz w:val="22"/>
          <w:szCs w:val="22"/>
          <w:lang w:eastAsia="en-US"/>
        </w:rPr>
        <w:t>Nurcu</w:t>
      </w:r>
      <w:r w:rsidR="00827FE7" w:rsidRPr="00610DC0">
        <w:rPr>
          <w:rFonts w:ascii="Arial" w:eastAsiaTheme="minorHAnsi" w:hAnsi="Arial" w:cs="Arial"/>
          <w:iCs/>
          <w:sz w:val="22"/>
          <w:szCs w:val="22"/>
          <w:lang w:eastAsia="en-US"/>
        </w:rPr>
        <w:t>, Syczach i Siemiatyczach</w:t>
      </w:r>
      <w:r w:rsidR="000A3C5F">
        <w:rPr>
          <w:rFonts w:ascii="Arial" w:eastAsiaTheme="minorHAnsi" w:hAnsi="Arial" w:cs="Arial"/>
          <w:iCs/>
          <w:sz w:val="22"/>
          <w:szCs w:val="22"/>
          <w:lang w:eastAsia="en-US"/>
        </w:rPr>
        <w:t>. Nowe perony powstają w</w:t>
      </w:r>
      <w:r w:rsidR="008925A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Borowikach, Nowym Nurcu, Dobrowodzie,</w:t>
      </w:r>
      <w:r w:rsidR="000A3C5F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Policznej i Witowie.</w:t>
      </w:r>
      <w:r w:rsidR="00B840B1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Między Czeremchą a Hajnówką pociągi kursują nowym torem. </w:t>
      </w:r>
      <w:r w:rsidR="00E87F68" w:rsidRPr="00E87F68">
        <w:rPr>
          <w:rFonts w:ascii="Arial" w:eastAsiaTheme="minorHAnsi" w:hAnsi="Arial" w:cs="Arial"/>
          <w:sz w:val="22"/>
          <w:szCs w:val="22"/>
          <w:lang w:eastAsia="en-US"/>
        </w:rPr>
        <w:t xml:space="preserve">Na odcinku od Czeremchy do gr. województwa </w:t>
      </w:r>
      <w:r w:rsidR="000B6F79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oczyszczono tłuczeń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w torze wraz z podbiciem i uzupełnieniem. Po zakończeniu wszystkich zaplanowanych </w:t>
      </w:r>
      <w:r w:rsidR="000B6F79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robót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pociągi pasażerskie pojadą z prędkością do 120 km/h a towarowe </w:t>
      </w:r>
      <w:r w:rsidR="00B5474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br/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do 80 km/h. </w:t>
      </w:r>
      <w:r w:rsidR="000A3C5F" w:rsidRPr="000A3C5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Łącznie w ramach inwestycji zostaną zmodernizowane perony na 4 stacjach</w:t>
      </w:r>
      <w:r w:rsidR="000A3C5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B5474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br/>
      </w:r>
      <w:r w:rsidR="000A3C5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oraz 7 przystankach</w:t>
      </w:r>
      <w:r w:rsidR="008925AC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.</w:t>
      </w:r>
      <w:r w:rsidR="000A3C5F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Wzrośnie również bezpieczeństwo na</w:t>
      </w:r>
      <w:r w:rsidR="00E87F68" w:rsidRPr="00E87F68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skrzyżowaniu dróg i torów, dzięki przebudowie 45 przejazdów. </w:t>
      </w:r>
      <w:r w:rsidR="00B840B1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Prace obejmują też obiekty inżynieryjne – mosty, wiadukty, przepusty. </w:t>
      </w:r>
      <w:r w:rsidR="00E87F68" w:rsidRPr="00E87F6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Zakończenie inwestycji zaplanowano w drugiej połowie 2020 r. </w:t>
      </w:r>
      <w:r w:rsidR="00B00300" w:rsidRPr="00B00300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Inwestycja zapewni bardziej komfortowe i bezpieczniejsze podróże koleją na Podlasiu.</w:t>
      </w:r>
    </w:p>
    <w:p w:rsidR="006A526A" w:rsidRPr="00610DC0" w:rsidRDefault="00747C8A" w:rsidP="002D790E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t>Projekt</w:t>
      </w:r>
      <w:r w:rsidR="006A526A"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: </w:t>
      </w:r>
      <w:r w:rsidR="006377BE"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t>„</w:t>
      </w:r>
      <w:r w:rsidR="00E87F68"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t>Projekt: Prace na linii kolejowej nr 31 granica województwa – Czeremcha – Hajnówka</w:t>
      </w:r>
      <w:r w:rsidR="006377BE"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”,  </w:t>
      </w:r>
      <w:r w:rsidR="00D17537" w:rsidRPr="00610DC0">
        <w:rPr>
          <w:rFonts w:ascii="Arial" w:eastAsia="Calibri" w:hAnsi="Arial" w:cs="Arial"/>
          <w:bCs/>
          <w:i/>
          <w:sz w:val="20"/>
          <w:szCs w:val="20"/>
          <w:lang w:eastAsia="en-US"/>
        </w:rPr>
        <w:br/>
      </w:r>
      <w:r w:rsidR="00B5474F">
        <w:rPr>
          <w:rFonts w:ascii="Arial" w:eastAsia="Calibri" w:hAnsi="Arial" w:cs="Arial"/>
          <w:bCs/>
          <w:i/>
          <w:sz w:val="20"/>
          <w:szCs w:val="20"/>
          <w:lang w:eastAsia="en-US"/>
        </w:rPr>
        <w:t>jest współ</w:t>
      </w:r>
      <w:bookmarkStart w:id="0" w:name="_GoBack"/>
      <w:bookmarkEnd w:id="0"/>
      <w:r w:rsidR="00B5474F" w:rsidRPr="00B5474F">
        <w:rPr>
          <w:rFonts w:ascii="Arial" w:eastAsia="Calibri" w:hAnsi="Arial" w:cs="Arial"/>
          <w:bCs/>
          <w:i/>
          <w:sz w:val="20"/>
          <w:szCs w:val="20"/>
          <w:lang w:eastAsia="en-US"/>
        </w:rPr>
        <w:t>finansowany przez Unię Europejską ze środków Europejskiego Funduszu Rozwoju Regionalnego w ramach Programu Operacyjnego Polska Wschodnia.</w:t>
      </w:r>
    </w:p>
    <w:p w:rsidR="00B3101B" w:rsidRPr="00610DC0" w:rsidRDefault="00B3101B" w:rsidP="002D790E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B5474F">
        <w:rPr>
          <w:rFonts w:ascii="Arial" w:eastAsia="Calibri" w:hAnsi="Arial" w:cs="Arial"/>
          <w:bCs/>
          <w:iCs/>
          <w:sz w:val="20"/>
          <w:szCs w:val="20"/>
          <w:lang w:eastAsia="en-US"/>
        </w:rPr>
        <w:t>Na stacji Czeremcha były także prowadzone roboty za około 19,5 mln zł w ramach projektu finansowanego z budżetu PLK</w:t>
      </w:r>
      <w:r w:rsidRPr="00610DC0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 xml:space="preserve"> pn. „Likwidacja zagrożeń eksploatacyjnych i wykonanie robót uzupełniających na liniach 31, 32 i 43 wraz ze stacją Czeremcha”. </w:t>
      </w:r>
    </w:p>
    <w:p w:rsidR="003F0D69" w:rsidRPr="00BA22E3" w:rsidRDefault="002713B7" w:rsidP="002D790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22E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56" w:rsidRPr="00BA22E3" w:rsidRDefault="00774113" w:rsidP="002D790E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2E3">
        <w:rPr>
          <w:rFonts w:ascii="Arial" w:hAnsi="Arial" w:cs="Arial"/>
          <w:b/>
          <w:sz w:val="22"/>
          <w:szCs w:val="22"/>
        </w:rPr>
        <w:tab/>
      </w:r>
    </w:p>
    <w:p w:rsidR="00964B84" w:rsidRPr="00BA22E3" w:rsidRDefault="00964B84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A22E3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617947" w:rsidRPr="00BA22E3" w:rsidRDefault="00617947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Karol Jakubowski</w:t>
      </w:r>
    </w:p>
    <w:p w:rsidR="00577191" w:rsidRPr="00BA22E3" w:rsidRDefault="00617947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 xml:space="preserve">Zespół </w:t>
      </w:r>
      <w:r w:rsidR="00577191" w:rsidRPr="00BA22E3">
        <w:rPr>
          <w:rFonts w:ascii="Arial" w:hAnsi="Arial" w:cs="Arial"/>
          <w:bCs/>
          <w:sz w:val="22"/>
          <w:szCs w:val="22"/>
        </w:rPr>
        <w:t xml:space="preserve">prasowy </w:t>
      </w:r>
    </w:p>
    <w:p w:rsidR="00577191" w:rsidRPr="00BA22E3" w:rsidRDefault="00577191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PKP Polskie Linie Kolejowe S.A.</w:t>
      </w:r>
    </w:p>
    <w:p w:rsidR="00577191" w:rsidRPr="00BA22E3" w:rsidRDefault="00577191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BA22E3">
        <w:rPr>
          <w:rFonts w:ascii="Arial" w:hAnsi="Arial" w:cs="Arial"/>
          <w:bCs/>
          <w:sz w:val="22"/>
          <w:szCs w:val="22"/>
        </w:rPr>
        <w:t>rzecznik@plk-sa.pl</w:t>
      </w:r>
    </w:p>
    <w:p w:rsidR="00577191" w:rsidRPr="00BA22E3" w:rsidRDefault="00BA22E3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tel. </w:t>
      </w:r>
      <w:r w:rsidR="00617947" w:rsidRPr="00BA22E3">
        <w:rPr>
          <w:rFonts w:ascii="Arial" w:hAnsi="Arial" w:cs="Arial"/>
          <w:bCs/>
          <w:sz w:val="22"/>
          <w:szCs w:val="22"/>
        </w:rPr>
        <w:t>668 679 414</w:t>
      </w:r>
    </w:p>
    <w:sectPr w:rsidR="00577191" w:rsidRPr="00BA22E3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56" w:rsidRDefault="00F21B56" w:rsidP="006B0DBA">
      <w:r>
        <w:separator/>
      </w:r>
    </w:p>
  </w:endnote>
  <w:endnote w:type="continuationSeparator" w:id="0">
    <w:p w:rsidR="00F21B56" w:rsidRDefault="00F21B5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04BF6">
      <w:rPr>
        <w:rFonts w:ascii="Arial" w:hAnsi="Arial" w:cs="Arial"/>
        <w:color w:val="727271"/>
        <w:sz w:val="14"/>
        <w:szCs w:val="14"/>
      </w:rPr>
      <w:t xml:space="preserve">20 424 93 </w:t>
    </w:r>
    <w:r w:rsidR="00504BF6" w:rsidRPr="003A5686">
      <w:rPr>
        <w:rFonts w:ascii="Arial" w:hAnsi="Arial" w:cs="Arial"/>
        <w:color w:val="727271"/>
        <w:sz w:val="14"/>
        <w:szCs w:val="14"/>
      </w:rPr>
      <w:t>000,00 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56" w:rsidRDefault="00F21B56" w:rsidP="006B0DBA">
      <w:r w:rsidRPr="006B0DBA">
        <w:rPr>
          <w:color w:val="000000"/>
        </w:rPr>
        <w:separator/>
      </w:r>
    </w:p>
  </w:footnote>
  <w:footnote w:type="continuationSeparator" w:id="0">
    <w:p w:rsidR="00F21B56" w:rsidRDefault="00F21B5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B5474F" w:rsidP="003F5130">
    <w:pPr>
      <w:pStyle w:val="Nagwek"/>
      <w:ind w:left="-284"/>
    </w:pPr>
    <w:r>
      <w:rPr>
        <w:noProof/>
      </w:rPr>
      <w:drawing>
        <wp:inline distT="0" distB="0" distL="0" distR="0" wp14:anchorId="1772BD39">
          <wp:extent cx="6200140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AE564A3"/>
    <w:multiLevelType w:val="multilevel"/>
    <w:tmpl w:val="0D02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36AFC"/>
    <w:rsid w:val="00040B3A"/>
    <w:rsid w:val="000424BB"/>
    <w:rsid w:val="00050746"/>
    <w:rsid w:val="00051BE7"/>
    <w:rsid w:val="00052C70"/>
    <w:rsid w:val="00060FE5"/>
    <w:rsid w:val="00082569"/>
    <w:rsid w:val="00084754"/>
    <w:rsid w:val="00090405"/>
    <w:rsid w:val="000916AA"/>
    <w:rsid w:val="000A0417"/>
    <w:rsid w:val="000A3C5F"/>
    <w:rsid w:val="000A5F10"/>
    <w:rsid w:val="000B6F79"/>
    <w:rsid w:val="000B7ED7"/>
    <w:rsid w:val="000D2804"/>
    <w:rsid w:val="000E07D2"/>
    <w:rsid w:val="000F6D73"/>
    <w:rsid w:val="001076D4"/>
    <w:rsid w:val="00114991"/>
    <w:rsid w:val="00132765"/>
    <w:rsid w:val="00134BA2"/>
    <w:rsid w:val="00145DA7"/>
    <w:rsid w:val="001534EB"/>
    <w:rsid w:val="001616F1"/>
    <w:rsid w:val="001649F2"/>
    <w:rsid w:val="001934A2"/>
    <w:rsid w:val="001A3A5D"/>
    <w:rsid w:val="001C4F53"/>
    <w:rsid w:val="001C4FB0"/>
    <w:rsid w:val="00223322"/>
    <w:rsid w:val="002265FD"/>
    <w:rsid w:val="0023613C"/>
    <w:rsid w:val="002439DE"/>
    <w:rsid w:val="00260082"/>
    <w:rsid w:val="00265E70"/>
    <w:rsid w:val="002713B7"/>
    <w:rsid w:val="002742AF"/>
    <w:rsid w:val="00285B77"/>
    <w:rsid w:val="00292433"/>
    <w:rsid w:val="002A0907"/>
    <w:rsid w:val="002B402D"/>
    <w:rsid w:val="002C027A"/>
    <w:rsid w:val="002C6401"/>
    <w:rsid w:val="002D0686"/>
    <w:rsid w:val="002D790E"/>
    <w:rsid w:val="002E0563"/>
    <w:rsid w:val="002F0081"/>
    <w:rsid w:val="0031106A"/>
    <w:rsid w:val="00322159"/>
    <w:rsid w:val="00343CDD"/>
    <w:rsid w:val="00344DC6"/>
    <w:rsid w:val="0039076E"/>
    <w:rsid w:val="00393243"/>
    <w:rsid w:val="00395255"/>
    <w:rsid w:val="00397BDC"/>
    <w:rsid w:val="003E51AC"/>
    <w:rsid w:val="003F0D69"/>
    <w:rsid w:val="003F5130"/>
    <w:rsid w:val="003F55F3"/>
    <w:rsid w:val="00403032"/>
    <w:rsid w:val="00404161"/>
    <w:rsid w:val="00405746"/>
    <w:rsid w:val="00413BD0"/>
    <w:rsid w:val="004474D8"/>
    <w:rsid w:val="0044750D"/>
    <w:rsid w:val="004845DA"/>
    <w:rsid w:val="00484AE4"/>
    <w:rsid w:val="00497EA5"/>
    <w:rsid w:val="004A241C"/>
    <w:rsid w:val="004A3022"/>
    <w:rsid w:val="004E0532"/>
    <w:rsid w:val="004F7D11"/>
    <w:rsid w:val="00504BF6"/>
    <w:rsid w:val="00507340"/>
    <w:rsid w:val="00513169"/>
    <w:rsid w:val="00514FC7"/>
    <w:rsid w:val="00524FDD"/>
    <w:rsid w:val="00525D7D"/>
    <w:rsid w:val="00526536"/>
    <w:rsid w:val="00541812"/>
    <w:rsid w:val="0055573F"/>
    <w:rsid w:val="00573DBC"/>
    <w:rsid w:val="00577191"/>
    <w:rsid w:val="005802EA"/>
    <w:rsid w:val="005922B0"/>
    <w:rsid w:val="005A20F1"/>
    <w:rsid w:val="005A7E85"/>
    <w:rsid w:val="005C15D2"/>
    <w:rsid w:val="005C22B6"/>
    <w:rsid w:val="005C3C15"/>
    <w:rsid w:val="005C5856"/>
    <w:rsid w:val="005D16E1"/>
    <w:rsid w:val="00601C90"/>
    <w:rsid w:val="006051CC"/>
    <w:rsid w:val="00610DC0"/>
    <w:rsid w:val="00610F3A"/>
    <w:rsid w:val="00617947"/>
    <w:rsid w:val="006301BA"/>
    <w:rsid w:val="0063742D"/>
    <w:rsid w:val="006377BE"/>
    <w:rsid w:val="006426E6"/>
    <w:rsid w:val="0064799D"/>
    <w:rsid w:val="00664164"/>
    <w:rsid w:val="00666BD1"/>
    <w:rsid w:val="00677828"/>
    <w:rsid w:val="00695E89"/>
    <w:rsid w:val="006A4F5B"/>
    <w:rsid w:val="006A526A"/>
    <w:rsid w:val="006A591E"/>
    <w:rsid w:val="006B0DBA"/>
    <w:rsid w:val="006D11C8"/>
    <w:rsid w:val="006D21CE"/>
    <w:rsid w:val="006E5AAD"/>
    <w:rsid w:val="00701F33"/>
    <w:rsid w:val="00712CFD"/>
    <w:rsid w:val="00722248"/>
    <w:rsid w:val="007271D9"/>
    <w:rsid w:val="00746BDC"/>
    <w:rsid w:val="00747C8A"/>
    <w:rsid w:val="007517DF"/>
    <w:rsid w:val="00753988"/>
    <w:rsid w:val="007618A8"/>
    <w:rsid w:val="0076220B"/>
    <w:rsid w:val="00766C25"/>
    <w:rsid w:val="00774113"/>
    <w:rsid w:val="00775257"/>
    <w:rsid w:val="00790289"/>
    <w:rsid w:val="007A57C3"/>
    <w:rsid w:val="007B3C96"/>
    <w:rsid w:val="007C65DA"/>
    <w:rsid w:val="007D40AA"/>
    <w:rsid w:val="007F7A0F"/>
    <w:rsid w:val="008010A3"/>
    <w:rsid w:val="008236B1"/>
    <w:rsid w:val="00824987"/>
    <w:rsid w:val="00827FE7"/>
    <w:rsid w:val="008307CF"/>
    <w:rsid w:val="008316F1"/>
    <w:rsid w:val="00840E93"/>
    <w:rsid w:val="008412F2"/>
    <w:rsid w:val="00856A01"/>
    <w:rsid w:val="008611CF"/>
    <w:rsid w:val="00866007"/>
    <w:rsid w:val="008667C4"/>
    <w:rsid w:val="008675FB"/>
    <w:rsid w:val="0088116C"/>
    <w:rsid w:val="008925AC"/>
    <w:rsid w:val="008A2B37"/>
    <w:rsid w:val="008A4BB7"/>
    <w:rsid w:val="008A678B"/>
    <w:rsid w:val="008C0FCC"/>
    <w:rsid w:val="008D37B2"/>
    <w:rsid w:val="008E121A"/>
    <w:rsid w:val="008E4448"/>
    <w:rsid w:val="009313A5"/>
    <w:rsid w:val="00933FEB"/>
    <w:rsid w:val="009406FE"/>
    <w:rsid w:val="0094158A"/>
    <w:rsid w:val="0094561F"/>
    <w:rsid w:val="00945AF9"/>
    <w:rsid w:val="00954219"/>
    <w:rsid w:val="00963FE3"/>
    <w:rsid w:val="00964B84"/>
    <w:rsid w:val="00970FC9"/>
    <w:rsid w:val="00972D15"/>
    <w:rsid w:val="00975F8B"/>
    <w:rsid w:val="00983014"/>
    <w:rsid w:val="00986F67"/>
    <w:rsid w:val="009939C9"/>
    <w:rsid w:val="009943BA"/>
    <w:rsid w:val="00995D91"/>
    <w:rsid w:val="009B0AA4"/>
    <w:rsid w:val="009D0B2E"/>
    <w:rsid w:val="00A03BC8"/>
    <w:rsid w:val="00A069EA"/>
    <w:rsid w:val="00A1307E"/>
    <w:rsid w:val="00A20C2F"/>
    <w:rsid w:val="00A4348E"/>
    <w:rsid w:val="00A50F66"/>
    <w:rsid w:val="00A53D11"/>
    <w:rsid w:val="00A71FCD"/>
    <w:rsid w:val="00A771B7"/>
    <w:rsid w:val="00A806EC"/>
    <w:rsid w:val="00A95B5F"/>
    <w:rsid w:val="00AA1EE6"/>
    <w:rsid w:val="00AB354A"/>
    <w:rsid w:val="00AC7074"/>
    <w:rsid w:val="00AD34C4"/>
    <w:rsid w:val="00AE3D34"/>
    <w:rsid w:val="00AE6912"/>
    <w:rsid w:val="00AF5BBB"/>
    <w:rsid w:val="00AF7D69"/>
    <w:rsid w:val="00B00300"/>
    <w:rsid w:val="00B126E1"/>
    <w:rsid w:val="00B1604C"/>
    <w:rsid w:val="00B21472"/>
    <w:rsid w:val="00B30DA6"/>
    <w:rsid w:val="00B3101B"/>
    <w:rsid w:val="00B46D9F"/>
    <w:rsid w:val="00B5474F"/>
    <w:rsid w:val="00B5551C"/>
    <w:rsid w:val="00B601A0"/>
    <w:rsid w:val="00B638C7"/>
    <w:rsid w:val="00B67613"/>
    <w:rsid w:val="00B840B1"/>
    <w:rsid w:val="00B95594"/>
    <w:rsid w:val="00BA22E3"/>
    <w:rsid w:val="00BB6C9A"/>
    <w:rsid w:val="00BB7987"/>
    <w:rsid w:val="00BC0100"/>
    <w:rsid w:val="00BD2A0C"/>
    <w:rsid w:val="00BE1C04"/>
    <w:rsid w:val="00BE45E9"/>
    <w:rsid w:val="00BE6359"/>
    <w:rsid w:val="00BF6CCE"/>
    <w:rsid w:val="00C01030"/>
    <w:rsid w:val="00C07262"/>
    <w:rsid w:val="00C22DC2"/>
    <w:rsid w:val="00C33B56"/>
    <w:rsid w:val="00C366CE"/>
    <w:rsid w:val="00C455EE"/>
    <w:rsid w:val="00C6269F"/>
    <w:rsid w:val="00C6458E"/>
    <w:rsid w:val="00C66D38"/>
    <w:rsid w:val="00C82415"/>
    <w:rsid w:val="00C87827"/>
    <w:rsid w:val="00C9629F"/>
    <w:rsid w:val="00C97D80"/>
    <w:rsid w:val="00CA225D"/>
    <w:rsid w:val="00CA63C6"/>
    <w:rsid w:val="00CA6FB2"/>
    <w:rsid w:val="00CB0505"/>
    <w:rsid w:val="00CC1ED0"/>
    <w:rsid w:val="00CC24FF"/>
    <w:rsid w:val="00CC2894"/>
    <w:rsid w:val="00CC7159"/>
    <w:rsid w:val="00CD3BE4"/>
    <w:rsid w:val="00CD41B2"/>
    <w:rsid w:val="00CF616A"/>
    <w:rsid w:val="00D11851"/>
    <w:rsid w:val="00D1634F"/>
    <w:rsid w:val="00D17537"/>
    <w:rsid w:val="00D17AAE"/>
    <w:rsid w:val="00D357FC"/>
    <w:rsid w:val="00D3647C"/>
    <w:rsid w:val="00D373FD"/>
    <w:rsid w:val="00D428E9"/>
    <w:rsid w:val="00D55680"/>
    <w:rsid w:val="00D60DA6"/>
    <w:rsid w:val="00D77299"/>
    <w:rsid w:val="00D931B9"/>
    <w:rsid w:val="00DA1F0D"/>
    <w:rsid w:val="00DC4475"/>
    <w:rsid w:val="00DC7FE8"/>
    <w:rsid w:val="00DD5906"/>
    <w:rsid w:val="00DD5A0C"/>
    <w:rsid w:val="00DE46B4"/>
    <w:rsid w:val="00DE50B7"/>
    <w:rsid w:val="00DF696E"/>
    <w:rsid w:val="00E00223"/>
    <w:rsid w:val="00E05DE1"/>
    <w:rsid w:val="00E12536"/>
    <w:rsid w:val="00E25335"/>
    <w:rsid w:val="00E34ED2"/>
    <w:rsid w:val="00E408DB"/>
    <w:rsid w:val="00E46112"/>
    <w:rsid w:val="00E67557"/>
    <w:rsid w:val="00E723C7"/>
    <w:rsid w:val="00E85034"/>
    <w:rsid w:val="00E86ABE"/>
    <w:rsid w:val="00E87F68"/>
    <w:rsid w:val="00E95E99"/>
    <w:rsid w:val="00EA724F"/>
    <w:rsid w:val="00EB1CC9"/>
    <w:rsid w:val="00ED1DC7"/>
    <w:rsid w:val="00ED31D6"/>
    <w:rsid w:val="00EF69D1"/>
    <w:rsid w:val="00F01A1C"/>
    <w:rsid w:val="00F07BA3"/>
    <w:rsid w:val="00F136B2"/>
    <w:rsid w:val="00F15044"/>
    <w:rsid w:val="00F21B56"/>
    <w:rsid w:val="00F42403"/>
    <w:rsid w:val="00F61594"/>
    <w:rsid w:val="00F6681F"/>
    <w:rsid w:val="00F6700E"/>
    <w:rsid w:val="00F67C7A"/>
    <w:rsid w:val="00F67D65"/>
    <w:rsid w:val="00F720CE"/>
    <w:rsid w:val="00F75E56"/>
    <w:rsid w:val="00F80B09"/>
    <w:rsid w:val="00FE269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495A8-EE13-4BA9-B894-0C48C0E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E87F68"/>
  </w:style>
  <w:style w:type="character" w:styleId="Odwoaniedokomentarza">
    <w:name w:val="annotation reference"/>
    <w:basedOn w:val="Domylnaczcionkaakapitu"/>
    <w:uiPriority w:val="99"/>
    <w:semiHidden/>
    <w:unhideWhenUsed/>
    <w:rsid w:val="00601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C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686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0755-EA18-4B26-A9D9-402920A8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Wójt Katarzyna</cp:lastModifiedBy>
  <cp:revision>4</cp:revision>
  <cp:lastPrinted>2018-01-17T08:01:00Z</cp:lastPrinted>
  <dcterms:created xsi:type="dcterms:W3CDTF">2019-08-07T10:42:00Z</dcterms:created>
  <dcterms:modified xsi:type="dcterms:W3CDTF">2019-08-07T10:55:00Z</dcterms:modified>
</cp:coreProperties>
</file>