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F81698" w:rsidRDefault="00AD6F23" w:rsidP="004363BC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63BC">
        <w:rPr>
          <w:rFonts w:ascii="Arial" w:eastAsia="Arial" w:hAnsi="Arial" w:cs="Arial"/>
        </w:rPr>
        <w:t xml:space="preserve">  </w:t>
      </w:r>
      <w:r w:rsidR="004363BC" w:rsidRPr="00F81698">
        <w:rPr>
          <w:rFonts w:ascii="Arial" w:eastAsia="Arial" w:hAnsi="Arial" w:cs="Arial"/>
        </w:rPr>
        <w:t xml:space="preserve">Warszawa, </w:t>
      </w:r>
      <w:r w:rsidR="001A7E0B">
        <w:rPr>
          <w:rFonts w:ascii="Arial" w:eastAsia="Arial" w:hAnsi="Arial" w:cs="Arial"/>
        </w:rPr>
        <w:t>26</w:t>
      </w:r>
      <w:r w:rsidR="00F81698" w:rsidRPr="00F81698">
        <w:rPr>
          <w:rFonts w:ascii="Arial" w:eastAsia="Arial" w:hAnsi="Arial" w:cs="Arial"/>
        </w:rPr>
        <w:t xml:space="preserve"> października</w:t>
      </w:r>
      <w:r w:rsidR="004F3A7A" w:rsidRPr="00F81698">
        <w:rPr>
          <w:rFonts w:ascii="Arial" w:eastAsia="Arial" w:hAnsi="Arial" w:cs="Arial"/>
        </w:rPr>
        <w:t xml:space="preserve"> </w:t>
      </w:r>
      <w:r w:rsidR="004363BC" w:rsidRPr="00F81698">
        <w:rPr>
          <w:rFonts w:ascii="Arial" w:eastAsia="Arial" w:hAnsi="Arial" w:cs="Arial"/>
        </w:rPr>
        <w:t>2017 r.</w:t>
      </w:r>
    </w:p>
    <w:p w:rsidR="00D874BD" w:rsidRDefault="00D874BD" w:rsidP="004363B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:rsidR="00A5337F" w:rsidRDefault="004363BC" w:rsidP="00A5337F">
      <w:pPr>
        <w:spacing w:after="0" w:line="360" w:lineRule="auto"/>
        <w:rPr>
          <w:rFonts w:ascii="Arial" w:eastAsia="Arial" w:hAnsi="Arial" w:cs="Arial"/>
          <w:b/>
        </w:rPr>
      </w:pPr>
      <w:r w:rsidRPr="004F3A7A">
        <w:rPr>
          <w:rFonts w:ascii="Arial" w:eastAsia="Arial" w:hAnsi="Arial" w:cs="Arial"/>
          <w:b/>
        </w:rPr>
        <w:t xml:space="preserve">Informacja prasowa </w:t>
      </w:r>
    </w:p>
    <w:p w:rsidR="001A7E0B" w:rsidRPr="001A7E0B" w:rsidRDefault="001A7E0B" w:rsidP="001A7E0B">
      <w:pPr>
        <w:pStyle w:val="align-justify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A7E0B">
        <w:rPr>
          <w:rFonts w:ascii="Arial" w:hAnsi="Arial" w:cs="Arial"/>
          <w:b/>
          <w:sz w:val="22"/>
          <w:szCs w:val="22"/>
        </w:rPr>
        <w:t>Podróże koleją na Wszystkich Świętych</w:t>
      </w:r>
    </w:p>
    <w:p w:rsidR="001A7E0B" w:rsidRPr="001A7E0B" w:rsidRDefault="001A7E0B" w:rsidP="001A7E0B">
      <w:pPr>
        <w:pStyle w:val="align-justify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A7E0B">
        <w:rPr>
          <w:rFonts w:ascii="Arial" w:hAnsi="Arial" w:cs="Arial"/>
          <w:b/>
          <w:sz w:val="22"/>
          <w:szCs w:val="22"/>
        </w:rPr>
        <w:t xml:space="preserve">Wzmocnione działania informacyjne, więcej miejsc w pociągach, dodatkowe patrole SOK na dworcach, peronach i w pociągach – Grupa PKP jest przygotowana do obsługi podróżnych podczas wyjazdów na Wszystkich Świętych. </w:t>
      </w:r>
    </w:p>
    <w:p w:rsidR="001A7E0B" w:rsidRPr="001A7E0B" w:rsidRDefault="001A7E0B" w:rsidP="001A7E0B">
      <w:pPr>
        <w:pStyle w:val="align-justify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A7E0B">
        <w:rPr>
          <w:rFonts w:ascii="Arial" w:hAnsi="Arial" w:cs="Arial"/>
          <w:b/>
          <w:sz w:val="22"/>
          <w:szCs w:val="22"/>
        </w:rPr>
        <w:t xml:space="preserve">Wsparcie i informacja na każdym etapie podróży </w:t>
      </w:r>
    </w:p>
    <w:p w:rsidR="001A7E0B" w:rsidRDefault="001A7E0B" w:rsidP="001A7E0B">
      <w:pPr>
        <w:pStyle w:val="align-justif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7E0B">
        <w:rPr>
          <w:rFonts w:ascii="Arial" w:hAnsi="Arial" w:cs="Arial"/>
          <w:sz w:val="22"/>
          <w:szCs w:val="22"/>
        </w:rPr>
        <w:t>Znalezienie dogodnej przesiadki, peronu, z którego odjeżdża pociąg, pomoc z bagażem – na taką pomoc w najbliższych dniach mogą liczyć podróżni. Na 12 dworcach wsparcie zapewnią informatorzy mobilni. Będą oni dyżurować od godzi</w:t>
      </w:r>
      <w:r>
        <w:rPr>
          <w:rFonts w:ascii="Arial" w:hAnsi="Arial" w:cs="Arial"/>
          <w:sz w:val="22"/>
          <w:szCs w:val="22"/>
        </w:rPr>
        <w:t>n południowych do wieczornych m</w:t>
      </w:r>
      <w:r w:rsidRPr="001A7E0B">
        <w:rPr>
          <w:rFonts w:ascii="Arial" w:hAnsi="Arial" w:cs="Arial"/>
          <w:sz w:val="22"/>
          <w:szCs w:val="22"/>
        </w:rPr>
        <w:t xml:space="preserve">.in. </w:t>
      </w:r>
      <w:r>
        <w:rPr>
          <w:rFonts w:ascii="Arial" w:hAnsi="Arial" w:cs="Arial"/>
          <w:sz w:val="22"/>
          <w:szCs w:val="22"/>
        </w:rPr>
        <w:br/>
      </w:r>
      <w:r w:rsidRPr="001A7E0B">
        <w:rPr>
          <w:rFonts w:ascii="Arial" w:hAnsi="Arial" w:cs="Arial"/>
          <w:sz w:val="22"/>
          <w:szCs w:val="22"/>
        </w:rPr>
        <w:t>w Trójmieście, Katowicach czy Wrocławiu. Dodatkowo, na największych dworcach, podróżni mogą liczyć na pom</w:t>
      </w:r>
      <w:r>
        <w:rPr>
          <w:rFonts w:ascii="Arial" w:hAnsi="Arial" w:cs="Arial"/>
          <w:sz w:val="22"/>
          <w:szCs w:val="22"/>
        </w:rPr>
        <w:t xml:space="preserve">oc pracowników w </w:t>
      </w:r>
      <w:proofErr w:type="spellStart"/>
      <w:r>
        <w:rPr>
          <w:rFonts w:ascii="Arial" w:hAnsi="Arial" w:cs="Arial"/>
          <w:sz w:val="22"/>
          <w:szCs w:val="22"/>
        </w:rPr>
        <w:t>InfoDworcach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1A7E0B" w:rsidRPr="001A7E0B" w:rsidRDefault="001A7E0B" w:rsidP="001A7E0B">
      <w:pPr>
        <w:pStyle w:val="align-justif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7E0B">
        <w:rPr>
          <w:rFonts w:ascii="Arial" w:hAnsi="Arial" w:cs="Arial"/>
          <w:sz w:val="22"/>
          <w:szCs w:val="22"/>
        </w:rPr>
        <w:t xml:space="preserve">Całodobowo działa również Centrum Wsparcia Klienta, które zapewnia wsparcie obsługi pasażerów na każdym etapie podróży. Przy zmianach w kursowaniu pociągów CWK współpracuje w organizacji komunikacji  zastępczej, umożliwiając pasażerom sprawne kontynuowanie podróży. Zapewnia także dodatkowe  napoje i poczęstunek na dworcach oraz </w:t>
      </w:r>
      <w:r>
        <w:rPr>
          <w:rFonts w:ascii="Arial" w:hAnsi="Arial" w:cs="Arial"/>
          <w:sz w:val="22"/>
          <w:szCs w:val="22"/>
        </w:rPr>
        <w:br/>
      </w:r>
      <w:r w:rsidRPr="001A7E0B">
        <w:rPr>
          <w:rFonts w:ascii="Arial" w:hAnsi="Arial" w:cs="Arial"/>
          <w:sz w:val="22"/>
          <w:szCs w:val="22"/>
        </w:rPr>
        <w:t>w pociągach.</w:t>
      </w:r>
    </w:p>
    <w:p w:rsidR="001A7E0B" w:rsidRDefault="001A7E0B" w:rsidP="001A7E0B">
      <w:pPr>
        <w:pStyle w:val="align-justify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Więcej miejsc w pociągach </w:t>
      </w:r>
    </w:p>
    <w:p w:rsidR="001A7E0B" w:rsidRPr="001A7E0B" w:rsidRDefault="001A7E0B" w:rsidP="001A7E0B">
      <w:pPr>
        <w:pStyle w:val="align-justify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A7E0B">
        <w:rPr>
          <w:rFonts w:ascii="Arial" w:hAnsi="Arial" w:cs="Arial"/>
          <w:sz w:val="22"/>
          <w:szCs w:val="22"/>
        </w:rPr>
        <w:t>PKP Intercity zachęca swoich pasażerów do planowania wyjazdów z wyprzedzeniem. Dzięki bieżącej analizie frekwencji w pociągach, Spółka, tam gdzie będzie to możliwe, wzmocni składy dodatkowymi wagonami. Trzeba jednak brać pod uwagę równi</w:t>
      </w:r>
      <w:r>
        <w:rPr>
          <w:rFonts w:ascii="Arial" w:hAnsi="Arial" w:cs="Arial"/>
          <w:sz w:val="22"/>
          <w:szCs w:val="22"/>
        </w:rPr>
        <w:t xml:space="preserve">eż dopuszczalną długość składu </w:t>
      </w:r>
      <w:r w:rsidRPr="001A7E0B">
        <w:rPr>
          <w:rFonts w:ascii="Arial" w:hAnsi="Arial" w:cs="Arial"/>
          <w:sz w:val="22"/>
          <w:szCs w:val="22"/>
        </w:rPr>
        <w:t>czy parametry peronów.</w:t>
      </w:r>
    </w:p>
    <w:p w:rsidR="001A7E0B" w:rsidRPr="001A7E0B" w:rsidRDefault="001A7E0B" w:rsidP="001A7E0B">
      <w:pPr>
        <w:pStyle w:val="align-justify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A7E0B">
        <w:rPr>
          <w:rFonts w:ascii="Arial" w:hAnsi="Arial" w:cs="Arial"/>
          <w:b/>
          <w:sz w:val="22"/>
          <w:szCs w:val="22"/>
        </w:rPr>
        <w:t xml:space="preserve">Wsparcie techniczne </w:t>
      </w:r>
    </w:p>
    <w:p w:rsidR="001A7E0B" w:rsidRPr="001A7E0B" w:rsidRDefault="001A7E0B" w:rsidP="001A7E0B">
      <w:pPr>
        <w:pStyle w:val="align-justif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7E0B">
        <w:rPr>
          <w:rFonts w:ascii="Arial" w:hAnsi="Arial" w:cs="Arial"/>
          <w:sz w:val="22"/>
          <w:szCs w:val="22"/>
        </w:rPr>
        <w:t xml:space="preserve">W okresie podróży związanych z obchodami Wszystkich Świętych zarządca infrastruktury dodatkowo sprawdza przejezdność linii kolejowych. W pogotowiu pozostaje 165 zespołów pogotowia technicznego, których zadaniem jest szybkie usuwanie ewentualnych usterek. </w:t>
      </w:r>
      <w:r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Pr="001A7E0B">
        <w:rPr>
          <w:rFonts w:ascii="Arial" w:hAnsi="Arial" w:cs="Arial"/>
          <w:sz w:val="22"/>
          <w:szCs w:val="22"/>
        </w:rPr>
        <w:t xml:space="preserve">Na ustalonych stacjach czuwają również pracownicy 66 pociągów sieciowych. W gotowości jest </w:t>
      </w:r>
      <w:r w:rsidRPr="001A7E0B">
        <w:rPr>
          <w:rFonts w:ascii="Arial" w:hAnsi="Arial" w:cs="Arial"/>
          <w:sz w:val="22"/>
          <w:szCs w:val="22"/>
        </w:rPr>
        <w:lastRenderedPageBreak/>
        <w:t xml:space="preserve">również 37 zespołów pogotowia elektroenergetycznego oraz 70 dyspozytorów pogotowia energetycznego. </w:t>
      </w:r>
    </w:p>
    <w:p w:rsidR="001A7E0B" w:rsidRPr="001A7E0B" w:rsidRDefault="001A7E0B" w:rsidP="001A7E0B">
      <w:pPr>
        <w:pStyle w:val="align-justif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7E0B">
        <w:rPr>
          <w:rFonts w:ascii="Arial" w:hAnsi="Arial" w:cs="Arial"/>
          <w:sz w:val="22"/>
          <w:szCs w:val="22"/>
        </w:rPr>
        <w:t>W całym kraju analizowane są prognozy pogody, aby jak najlepiej przygotować dyżurne zespoły do pracy. W zależności od sytuacji i warunków pogodowych do działań będą włączani dodatkowi pracownicy i sprzęt.</w:t>
      </w:r>
    </w:p>
    <w:p w:rsidR="001A7E0B" w:rsidRPr="001A7E0B" w:rsidRDefault="001A7E0B" w:rsidP="001A7E0B">
      <w:pPr>
        <w:pStyle w:val="align-justify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A7E0B">
        <w:rPr>
          <w:rFonts w:ascii="Arial" w:hAnsi="Arial" w:cs="Arial"/>
          <w:b/>
          <w:sz w:val="22"/>
          <w:szCs w:val="22"/>
        </w:rPr>
        <w:t>Dla bezpiecznych podróży</w:t>
      </w:r>
    </w:p>
    <w:p w:rsidR="001A7E0B" w:rsidRDefault="001A7E0B" w:rsidP="001A7E0B">
      <w:pPr>
        <w:pStyle w:val="align-justif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7E0B">
        <w:rPr>
          <w:rFonts w:ascii="Arial" w:hAnsi="Arial" w:cs="Arial"/>
          <w:sz w:val="22"/>
          <w:szCs w:val="22"/>
        </w:rPr>
        <w:t>Dodatkowe patrole Straży Ochrony Kolei w pociągach, na dworcach oraz na szlakach kolejowych zapewnią bezpieczeństwo w podróży. Do dyspozycji podróżnyc</w:t>
      </w:r>
      <w:r>
        <w:rPr>
          <w:rFonts w:ascii="Arial" w:hAnsi="Arial" w:cs="Arial"/>
          <w:sz w:val="22"/>
          <w:szCs w:val="22"/>
        </w:rPr>
        <w:t xml:space="preserve">h jest także całodobowy numer alarmowy SOK – 22 47 40 000. </w:t>
      </w:r>
    </w:p>
    <w:p w:rsidR="001A7E0B" w:rsidRPr="001A7E0B" w:rsidRDefault="001A7E0B" w:rsidP="001A7E0B">
      <w:pPr>
        <w:pStyle w:val="align-justif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7E0B">
        <w:rPr>
          <w:rFonts w:ascii="Arial" w:hAnsi="Arial" w:cs="Arial"/>
          <w:sz w:val="22"/>
          <w:szCs w:val="22"/>
        </w:rPr>
        <w:t>Nad bezpieczeństwem ruchu kolejowego czuwa także ponad 1 650 dyżurnych ruchu i 114 dyspozytorów PKP Polskie Linie Kolejowe S.A. Działania koordynuje Główna Dyspozytura, która całą dobę współpracuje ze wszystkimi przewoźnikami pasażerskimi i towarowymi, a w razie potrzeby także z służbami ratowniczymi.</w:t>
      </w:r>
    </w:p>
    <w:p w:rsidR="001A7E0B" w:rsidRPr="001A7E0B" w:rsidRDefault="001A7E0B" w:rsidP="001A7E0B">
      <w:pPr>
        <w:pStyle w:val="align-justify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A7E0B">
        <w:rPr>
          <w:rFonts w:ascii="Arial" w:hAnsi="Arial" w:cs="Arial"/>
          <w:b/>
          <w:sz w:val="22"/>
          <w:szCs w:val="22"/>
        </w:rPr>
        <w:t>Sprawdź wcześniej, o której odjeżdża pociąg</w:t>
      </w:r>
    </w:p>
    <w:p w:rsidR="00B50A4D" w:rsidRDefault="001A7E0B" w:rsidP="00F81698">
      <w:pPr>
        <w:pStyle w:val="align-justif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A7E0B">
        <w:rPr>
          <w:rFonts w:ascii="Arial" w:hAnsi="Arial" w:cs="Arial"/>
          <w:sz w:val="22"/>
          <w:szCs w:val="22"/>
        </w:rPr>
        <w:t>Informacje dotyczące rozkładu jazdy są dostępne na stacjach i przystankach w formie plakatów oraz na stronach portalpasazera.pl i rozklad-pkp.pl, a także bezpośrednio u przewoźników kolejowych. Informacje na temat rozkładu jazdy PKP Intercity można znaleźć na stronie intercity.pl lub dzwoniąc pod nr 703 200 200 (opłata za minutę połączenia 1,29 zł brutto, usługę</w:t>
      </w:r>
      <w:r>
        <w:rPr>
          <w:rFonts w:ascii="Arial" w:hAnsi="Arial" w:cs="Arial"/>
          <w:sz w:val="22"/>
          <w:szCs w:val="22"/>
        </w:rPr>
        <w:t xml:space="preserve"> świadczy PKP Intercity S.A.). </w:t>
      </w:r>
    </w:p>
    <w:p w:rsidR="00F81698" w:rsidRPr="008216DE" w:rsidRDefault="00F81698" w:rsidP="00F81698">
      <w:pPr>
        <w:pStyle w:val="align-right"/>
        <w:jc w:val="right"/>
        <w:rPr>
          <w:rFonts w:ascii="Arial" w:hAnsi="Arial" w:cs="Arial"/>
          <w:b/>
          <w:bCs/>
          <w:sz w:val="22"/>
          <w:szCs w:val="22"/>
        </w:rPr>
      </w:pPr>
      <w:r w:rsidRPr="008216DE">
        <w:rPr>
          <w:rFonts w:ascii="Arial" w:hAnsi="Arial" w:cs="Arial"/>
          <w:b/>
          <w:bCs/>
          <w:sz w:val="22"/>
          <w:szCs w:val="22"/>
        </w:rPr>
        <w:t>Kontakt dla mediów: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8216DE">
        <w:rPr>
          <w:rFonts w:ascii="Arial" w:hAnsi="Arial" w:cs="Arial"/>
          <w:sz w:val="22"/>
          <w:szCs w:val="22"/>
        </w:rPr>
        <w:br/>
        <w:t>Mirosław Siemieniec</w:t>
      </w:r>
      <w:r w:rsidRPr="008216DE">
        <w:rPr>
          <w:rFonts w:ascii="Arial" w:hAnsi="Arial" w:cs="Arial"/>
          <w:sz w:val="22"/>
          <w:szCs w:val="22"/>
        </w:rPr>
        <w:br/>
        <w:t>Rzecznik prasowy</w:t>
      </w:r>
      <w:r w:rsidRPr="008216DE">
        <w:rPr>
          <w:rFonts w:ascii="Arial" w:hAnsi="Arial" w:cs="Arial"/>
          <w:sz w:val="22"/>
          <w:szCs w:val="22"/>
        </w:rPr>
        <w:br/>
        <w:t>PKP Polskie Linie Kolejowe S.A.</w:t>
      </w:r>
      <w:r w:rsidRPr="008216DE">
        <w:rPr>
          <w:rFonts w:ascii="Arial" w:hAnsi="Arial" w:cs="Arial"/>
          <w:sz w:val="22"/>
          <w:szCs w:val="22"/>
        </w:rPr>
        <w:br/>
      </w:r>
      <w:hyperlink r:id="rId8" w:history="1">
        <w:r w:rsidRPr="008216DE">
          <w:rPr>
            <w:rStyle w:val="Hipercze"/>
            <w:rFonts w:ascii="Arial" w:eastAsiaTheme="minorHAnsi" w:hAnsi="Arial" w:cs="Arial"/>
            <w:sz w:val="22"/>
            <w:szCs w:val="22"/>
          </w:rPr>
          <w:t>rzecznik@plk-sa.pl</w:t>
        </w:r>
      </w:hyperlink>
      <w:r w:rsidRPr="008216DE">
        <w:rPr>
          <w:rStyle w:val="Hipercze"/>
          <w:rFonts w:ascii="Arial" w:eastAsiaTheme="minorHAnsi" w:hAnsi="Arial" w:cs="Arial"/>
          <w:sz w:val="22"/>
          <w:szCs w:val="22"/>
        </w:rPr>
        <w:br/>
      </w:r>
      <w:r w:rsidRPr="008216DE">
        <w:rPr>
          <w:rFonts w:ascii="Arial" w:hAnsi="Arial" w:cs="Arial"/>
          <w:sz w:val="22"/>
          <w:szCs w:val="22"/>
        </w:rPr>
        <w:t>694 480 239</w:t>
      </w:r>
    </w:p>
    <w:p w:rsidR="00F81698" w:rsidRPr="008216DE" w:rsidRDefault="00F81698" w:rsidP="00F81698">
      <w:pPr>
        <w:jc w:val="right"/>
        <w:rPr>
          <w:rFonts w:ascii="Arial" w:eastAsia="Times New Roman" w:hAnsi="Arial" w:cs="Arial"/>
          <w:lang w:eastAsia="pl-PL"/>
        </w:rPr>
      </w:pPr>
      <w:r w:rsidRPr="008216DE">
        <w:rPr>
          <w:rFonts w:ascii="Arial" w:eastAsia="Times New Roman" w:hAnsi="Arial" w:cs="Arial"/>
          <w:lang w:eastAsia="pl-PL"/>
        </w:rPr>
        <w:br/>
        <w:t>Agnieszka Serb</w:t>
      </w:r>
      <w:r>
        <w:rPr>
          <w:rFonts w:ascii="Arial" w:eastAsia="Times New Roman" w:hAnsi="Arial" w:cs="Arial"/>
          <w:lang w:eastAsia="pl-PL"/>
        </w:rPr>
        <w:t>eńska</w:t>
      </w:r>
      <w:r>
        <w:rPr>
          <w:rFonts w:ascii="Arial" w:eastAsia="Times New Roman" w:hAnsi="Arial" w:cs="Arial"/>
          <w:lang w:eastAsia="pl-PL"/>
        </w:rPr>
        <w:br/>
        <w:t>R</w:t>
      </w:r>
      <w:r w:rsidRPr="008216DE">
        <w:rPr>
          <w:rFonts w:ascii="Arial" w:eastAsia="Times New Roman" w:hAnsi="Arial" w:cs="Arial"/>
          <w:lang w:eastAsia="pl-PL"/>
        </w:rPr>
        <w:t>zecznik prasowy</w:t>
      </w:r>
      <w:r w:rsidRPr="008216DE">
        <w:rPr>
          <w:rFonts w:ascii="Arial" w:eastAsia="Times New Roman" w:hAnsi="Arial" w:cs="Arial"/>
          <w:lang w:eastAsia="pl-PL"/>
        </w:rPr>
        <w:br/>
        <w:t>PKP Intercity S.A.</w:t>
      </w:r>
      <w:r w:rsidRPr="008216DE">
        <w:rPr>
          <w:rFonts w:ascii="Arial" w:eastAsia="Times New Roman" w:hAnsi="Arial" w:cs="Arial"/>
          <w:lang w:eastAsia="pl-PL"/>
        </w:rPr>
        <w:br/>
      </w:r>
      <w:hyperlink r:id="rId9" w:history="1">
        <w:r w:rsidRPr="008216DE">
          <w:rPr>
            <w:rStyle w:val="Hipercze"/>
            <w:rFonts w:ascii="Arial" w:hAnsi="Arial" w:cs="Arial"/>
            <w:lang w:eastAsia="pl-PL"/>
          </w:rPr>
          <w:t>rzecznik@intercity.pl</w:t>
        </w:r>
      </w:hyperlink>
      <w:r w:rsidRPr="008216DE">
        <w:rPr>
          <w:rStyle w:val="Hipercze"/>
          <w:rFonts w:ascii="Arial" w:hAnsi="Arial" w:cs="Arial"/>
          <w:lang w:eastAsia="pl-PL"/>
        </w:rPr>
        <w:br/>
      </w:r>
      <w:r w:rsidRPr="008216DE">
        <w:rPr>
          <w:rFonts w:ascii="Arial" w:eastAsia="Times New Roman" w:hAnsi="Arial" w:cs="Arial"/>
          <w:lang w:eastAsia="pl-PL"/>
        </w:rPr>
        <w:t>505 554 384</w:t>
      </w:r>
    </w:p>
    <w:p w:rsidR="003B161C" w:rsidRPr="00F81698" w:rsidRDefault="00F81698" w:rsidP="00F81698">
      <w:pPr>
        <w:pStyle w:val="align-right"/>
        <w:jc w:val="right"/>
        <w:rPr>
          <w:rFonts w:ascii="Arial" w:hAnsi="Arial" w:cs="Arial"/>
          <w:sz w:val="22"/>
          <w:szCs w:val="22"/>
        </w:rPr>
      </w:pPr>
      <w:r w:rsidRPr="008216DE">
        <w:rPr>
          <w:rFonts w:ascii="Arial" w:hAnsi="Arial" w:cs="Arial"/>
          <w:sz w:val="22"/>
          <w:szCs w:val="22"/>
        </w:rPr>
        <w:br/>
      </w:r>
      <w:r w:rsidRPr="00FE18F6">
        <w:rPr>
          <w:rFonts w:ascii="Arial" w:hAnsi="Arial" w:cs="Arial"/>
          <w:sz w:val="22"/>
          <w:szCs w:val="22"/>
        </w:rPr>
        <w:t>Michał Stilger</w:t>
      </w:r>
      <w:r w:rsidRPr="00FE18F6">
        <w:rPr>
          <w:rFonts w:ascii="Arial" w:hAnsi="Arial" w:cs="Arial"/>
          <w:sz w:val="22"/>
          <w:szCs w:val="22"/>
        </w:rPr>
        <w:br/>
        <w:t>Polskie Koleje Państwowe S.A.</w:t>
      </w:r>
      <w:r w:rsidRPr="00FE18F6">
        <w:rPr>
          <w:rFonts w:ascii="Arial" w:hAnsi="Arial" w:cs="Arial"/>
          <w:sz w:val="22"/>
          <w:szCs w:val="22"/>
        </w:rPr>
        <w:br/>
      </w:r>
      <w:r w:rsidRPr="00FE18F6">
        <w:rPr>
          <w:rStyle w:val="Hipercze"/>
          <w:rFonts w:ascii="Arial" w:eastAsiaTheme="minorHAnsi" w:hAnsi="Arial" w:cs="Arial"/>
          <w:sz w:val="22"/>
          <w:szCs w:val="22"/>
        </w:rPr>
        <w:t>Michal.Stilger@pkp.pl</w:t>
      </w:r>
      <w:hyperlink r:id="rId10" w:history="1"/>
      <w:r w:rsidRPr="00FE18F6">
        <w:rPr>
          <w:rStyle w:val="Hipercze"/>
          <w:rFonts w:ascii="Arial" w:hAnsi="Arial" w:cs="Arial"/>
          <w:sz w:val="22"/>
          <w:szCs w:val="22"/>
        </w:rPr>
        <w:br/>
      </w:r>
      <w:r w:rsidRPr="00FE18F6">
        <w:rPr>
          <w:rFonts w:ascii="Arial" w:hAnsi="Arial" w:cs="Arial"/>
          <w:sz w:val="22"/>
          <w:szCs w:val="22"/>
        </w:rPr>
        <w:t>798 962 993</w:t>
      </w:r>
    </w:p>
    <w:sectPr w:rsidR="003B161C" w:rsidRPr="00F81698" w:rsidSect="00E375AE"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5C2" w:rsidRDefault="000F05C2" w:rsidP="00D5409C">
      <w:pPr>
        <w:spacing w:after="0" w:line="240" w:lineRule="auto"/>
      </w:pPr>
      <w:r>
        <w:separator/>
      </w:r>
    </w:p>
  </w:endnote>
  <w:endnote w:type="continuationSeparator" w:id="0">
    <w:p w:rsidR="000F05C2" w:rsidRDefault="000F05C2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A7E0B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1A7E0B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5C2" w:rsidRDefault="000F05C2" w:rsidP="00D5409C">
      <w:pPr>
        <w:spacing w:after="0" w:line="240" w:lineRule="auto"/>
      </w:pPr>
      <w:r>
        <w:separator/>
      </w:r>
    </w:p>
  </w:footnote>
  <w:footnote w:type="continuationSeparator" w:id="0">
    <w:p w:rsidR="000F05C2" w:rsidRDefault="000F05C2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0F05C2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F75464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B7F37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05C2"/>
    <w:rsid w:val="000F1E14"/>
    <w:rsid w:val="000F25FB"/>
    <w:rsid w:val="000F3F67"/>
    <w:rsid w:val="000F43B7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D0C"/>
    <w:rsid w:val="0018453D"/>
    <w:rsid w:val="00196F35"/>
    <w:rsid w:val="001A4F34"/>
    <w:rsid w:val="001A7E0B"/>
    <w:rsid w:val="001B6E32"/>
    <w:rsid w:val="001C28D9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4AD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0C9"/>
    <w:rsid w:val="003B71AD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231ED"/>
    <w:rsid w:val="00431DC3"/>
    <w:rsid w:val="004363BC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29D"/>
    <w:rsid w:val="004A6631"/>
    <w:rsid w:val="004B6D5B"/>
    <w:rsid w:val="004C03DF"/>
    <w:rsid w:val="004C4512"/>
    <w:rsid w:val="004C6D02"/>
    <w:rsid w:val="004D2030"/>
    <w:rsid w:val="004D55FE"/>
    <w:rsid w:val="004D6EC9"/>
    <w:rsid w:val="004E5927"/>
    <w:rsid w:val="004F05C4"/>
    <w:rsid w:val="004F0976"/>
    <w:rsid w:val="004F3A7A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74FF"/>
    <w:rsid w:val="00625826"/>
    <w:rsid w:val="00631375"/>
    <w:rsid w:val="0063177F"/>
    <w:rsid w:val="00631EE1"/>
    <w:rsid w:val="00632FE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9791F"/>
    <w:rsid w:val="006A159D"/>
    <w:rsid w:val="006A4931"/>
    <w:rsid w:val="006A4F7C"/>
    <w:rsid w:val="006A6DC2"/>
    <w:rsid w:val="006B149F"/>
    <w:rsid w:val="006B346C"/>
    <w:rsid w:val="006C1B6C"/>
    <w:rsid w:val="006C1CE1"/>
    <w:rsid w:val="006C212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078E8"/>
    <w:rsid w:val="0071378B"/>
    <w:rsid w:val="00715AC4"/>
    <w:rsid w:val="00716BA8"/>
    <w:rsid w:val="0073135F"/>
    <w:rsid w:val="007326BD"/>
    <w:rsid w:val="00742C08"/>
    <w:rsid w:val="007533BD"/>
    <w:rsid w:val="00754307"/>
    <w:rsid w:val="007772B3"/>
    <w:rsid w:val="0078197E"/>
    <w:rsid w:val="00796F61"/>
    <w:rsid w:val="007A3A3B"/>
    <w:rsid w:val="007A4C75"/>
    <w:rsid w:val="007A7C7B"/>
    <w:rsid w:val="007B2B04"/>
    <w:rsid w:val="007B4959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7455"/>
    <w:rsid w:val="008A0729"/>
    <w:rsid w:val="008A1F5C"/>
    <w:rsid w:val="008B09EF"/>
    <w:rsid w:val="008C1E35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E2B7B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355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337F"/>
    <w:rsid w:val="00A55BED"/>
    <w:rsid w:val="00A57E78"/>
    <w:rsid w:val="00A63BC0"/>
    <w:rsid w:val="00A669F6"/>
    <w:rsid w:val="00A66C9F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0A4D"/>
    <w:rsid w:val="00B52287"/>
    <w:rsid w:val="00B52FA3"/>
    <w:rsid w:val="00B54479"/>
    <w:rsid w:val="00B603B9"/>
    <w:rsid w:val="00B60445"/>
    <w:rsid w:val="00B6179F"/>
    <w:rsid w:val="00B65DA9"/>
    <w:rsid w:val="00B66B0B"/>
    <w:rsid w:val="00B7498C"/>
    <w:rsid w:val="00B81872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C08AF"/>
    <w:rsid w:val="00BC2C78"/>
    <w:rsid w:val="00BC33C1"/>
    <w:rsid w:val="00BD0709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3F9"/>
    <w:rsid w:val="00C1659B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49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80"/>
    <w:rsid w:val="00CA17BD"/>
    <w:rsid w:val="00CA370C"/>
    <w:rsid w:val="00CA5953"/>
    <w:rsid w:val="00CB0350"/>
    <w:rsid w:val="00CB1673"/>
    <w:rsid w:val="00CB2788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6033"/>
    <w:rsid w:val="00D10FAB"/>
    <w:rsid w:val="00D20B71"/>
    <w:rsid w:val="00D2374F"/>
    <w:rsid w:val="00D24DBC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77F0C"/>
    <w:rsid w:val="00D8459C"/>
    <w:rsid w:val="00D852FD"/>
    <w:rsid w:val="00D86BD0"/>
    <w:rsid w:val="00D874BD"/>
    <w:rsid w:val="00D9150D"/>
    <w:rsid w:val="00D9495E"/>
    <w:rsid w:val="00D95B2D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122B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1B78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5464"/>
    <w:rsid w:val="00F76C19"/>
    <w:rsid w:val="00F81698"/>
    <w:rsid w:val="00F82635"/>
    <w:rsid w:val="00F85B38"/>
    <w:rsid w:val="00F91D11"/>
    <w:rsid w:val="00F96248"/>
    <w:rsid w:val="00F96444"/>
    <w:rsid w:val="00FA3419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zecznik@intercity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79C3B-F66D-41CB-BD1E-7422100C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3468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Kubiak Joanna</cp:lastModifiedBy>
  <cp:revision>2</cp:revision>
  <cp:lastPrinted>2017-10-11T13:59:00Z</cp:lastPrinted>
  <dcterms:created xsi:type="dcterms:W3CDTF">2017-10-25T11:35:00Z</dcterms:created>
  <dcterms:modified xsi:type="dcterms:W3CDTF">2017-10-25T11:35:00Z</dcterms:modified>
</cp:coreProperties>
</file>