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7B2" w:rsidRDefault="007E17B2" w:rsidP="007E17B2">
      <w:pPr>
        <w:jc w:val="right"/>
        <w:rPr>
          <w:rFonts w:cs="Arial"/>
        </w:rPr>
      </w:pPr>
    </w:p>
    <w:p w:rsidR="007E17B2" w:rsidRDefault="007E17B2" w:rsidP="007E17B2">
      <w:pPr>
        <w:jc w:val="right"/>
        <w:rPr>
          <w:rFonts w:cs="Arial"/>
        </w:rPr>
      </w:pPr>
    </w:p>
    <w:p w:rsidR="007E17B2" w:rsidRDefault="007E17B2" w:rsidP="007E17B2">
      <w:pPr>
        <w:spacing w:after="0" w:line="360" w:lineRule="auto"/>
        <w:rPr>
          <w:rFonts w:cs="Arial"/>
        </w:rPr>
      </w:pPr>
    </w:p>
    <w:p w:rsidR="00794789" w:rsidRDefault="00794789" w:rsidP="0082328D">
      <w:pPr>
        <w:suppressAutoHyphens/>
        <w:autoSpaceDN w:val="0"/>
        <w:spacing w:after="240" w:line="240" w:lineRule="auto"/>
        <w:ind w:left="357" w:hanging="357"/>
        <w:jc w:val="right"/>
        <w:textAlignment w:val="baseline"/>
        <w:rPr>
          <w:rFonts w:eastAsia="Times New Roman" w:cs="Arial"/>
          <w:szCs w:val="24"/>
          <w:lang w:eastAsia="pl-PL"/>
        </w:rPr>
      </w:pPr>
    </w:p>
    <w:p w:rsidR="007E17B2" w:rsidRDefault="005D4E1E" w:rsidP="0082328D">
      <w:pPr>
        <w:suppressAutoHyphens/>
        <w:autoSpaceDN w:val="0"/>
        <w:spacing w:after="240" w:line="240" w:lineRule="auto"/>
        <w:ind w:left="357" w:hanging="357"/>
        <w:jc w:val="right"/>
        <w:textAlignment w:val="baseline"/>
        <w:rPr>
          <w:rFonts w:eastAsia="Times New Roman" w:cs="Arial"/>
          <w:szCs w:val="24"/>
          <w:lang w:eastAsia="pl-PL"/>
        </w:rPr>
      </w:pPr>
      <w:r>
        <w:rPr>
          <w:rFonts w:eastAsia="Times New Roman" w:cs="Arial"/>
          <w:szCs w:val="24"/>
          <w:lang w:eastAsia="pl-PL"/>
        </w:rPr>
        <w:t>Szczecin</w:t>
      </w:r>
      <w:r w:rsidR="00273DCE">
        <w:rPr>
          <w:rFonts w:eastAsia="Times New Roman" w:cs="Arial"/>
          <w:szCs w:val="24"/>
          <w:lang w:eastAsia="pl-PL"/>
        </w:rPr>
        <w:t>,</w:t>
      </w:r>
      <w:r w:rsidR="00BF5583">
        <w:rPr>
          <w:rFonts w:eastAsia="Times New Roman" w:cs="Arial"/>
          <w:szCs w:val="24"/>
          <w:lang w:eastAsia="pl-PL"/>
        </w:rPr>
        <w:t xml:space="preserve"> 26</w:t>
      </w:r>
      <w:r w:rsidR="00876BB4">
        <w:rPr>
          <w:rFonts w:eastAsia="Times New Roman" w:cs="Arial"/>
          <w:szCs w:val="24"/>
          <w:lang w:eastAsia="pl-PL"/>
        </w:rPr>
        <w:t xml:space="preserve"> lipca </w:t>
      </w:r>
      <w:r w:rsidR="003F6B07">
        <w:rPr>
          <w:rFonts w:eastAsia="Times New Roman" w:cs="Arial"/>
          <w:szCs w:val="24"/>
          <w:lang w:eastAsia="pl-PL"/>
        </w:rPr>
        <w:t>2022</w:t>
      </w:r>
      <w:r w:rsidR="007E17B2" w:rsidRPr="007E17B2">
        <w:rPr>
          <w:rFonts w:eastAsia="Times New Roman" w:cs="Arial"/>
          <w:szCs w:val="24"/>
          <w:lang w:eastAsia="pl-PL"/>
        </w:rPr>
        <w:t xml:space="preserve"> r.</w:t>
      </w:r>
    </w:p>
    <w:p w:rsidR="00F11B17" w:rsidRPr="007E17B2" w:rsidRDefault="00F11B17" w:rsidP="007E17B2">
      <w:pPr>
        <w:suppressAutoHyphens/>
        <w:autoSpaceDN w:val="0"/>
        <w:spacing w:after="0" w:line="240" w:lineRule="auto"/>
        <w:ind w:left="360" w:hanging="360"/>
        <w:jc w:val="right"/>
        <w:textAlignment w:val="baseline"/>
        <w:rPr>
          <w:rFonts w:eastAsia="Times New Roman" w:cs="Arial"/>
          <w:szCs w:val="24"/>
          <w:lang w:eastAsia="pl-PL"/>
        </w:rPr>
      </w:pPr>
    </w:p>
    <w:p w:rsidR="005D4E1E" w:rsidRPr="00A57D9F" w:rsidRDefault="00116D43" w:rsidP="00CF4D0F">
      <w:pPr>
        <w:pStyle w:val="Nagwek1"/>
        <w:spacing w:before="100" w:beforeAutospacing="1" w:after="100" w:afterAutospacing="1" w:line="360" w:lineRule="auto"/>
        <w:rPr>
          <w:rFonts w:cs="Arial"/>
          <w:sz w:val="22"/>
          <w:szCs w:val="22"/>
        </w:rPr>
      </w:pPr>
      <w:r w:rsidRPr="00116D43">
        <w:rPr>
          <w:rFonts w:cs="Arial"/>
          <w:sz w:val="22"/>
          <w:szCs w:val="22"/>
        </w:rPr>
        <w:t>Zwiększają się możliwości linii kolejowych do portów w Szczecinie i Świnoujściu</w:t>
      </w:r>
    </w:p>
    <w:p w:rsidR="00DC6401" w:rsidRPr="00A57D9F" w:rsidRDefault="00DC6401" w:rsidP="00CF4D0F">
      <w:pPr>
        <w:spacing w:before="100" w:beforeAutospacing="1" w:after="100" w:afterAutospacing="1" w:line="360" w:lineRule="auto"/>
        <w:rPr>
          <w:rFonts w:cs="Arial"/>
          <w:b/>
        </w:rPr>
      </w:pPr>
      <w:r w:rsidRPr="00A57D9F">
        <w:rPr>
          <w:rFonts w:cs="Arial"/>
          <w:b/>
        </w:rPr>
        <w:t>Przebudowa</w:t>
      </w:r>
      <w:r w:rsidR="0095786B" w:rsidRPr="00A57D9F">
        <w:rPr>
          <w:rFonts w:cs="Arial"/>
          <w:b/>
        </w:rPr>
        <w:t xml:space="preserve">ne tory </w:t>
      </w:r>
      <w:r w:rsidRPr="00A57D9F">
        <w:rPr>
          <w:rFonts w:cs="Arial"/>
          <w:b/>
        </w:rPr>
        <w:t>do portów w Szczecinie i Świnoujściu</w:t>
      </w:r>
      <w:r w:rsidR="0095786B" w:rsidRPr="00A57D9F">
        <w:rPr>
          <w:rFonts w:cs="Arial"/>
          <w:b/>
        </w:rPr>
        <w:t xml:space="preserve"> zwiększają efektywność kolei oraz możliwości obsługi żeglugi morskiej. </w:t>
      </w:r>
      <w:r w:rsidR="0095786B" w:rsidRPr="00A57D9F">
        <w:rPr>
          <w:rFonts w:cs="Arial"/>
          <w:b/>
          <w:bCs/>
          <w:shd w:val="clear" w:color="auto" w:fill="FFFFFF"/>
        </w:rPr>
        <w:t xml:space="preserve">PKP Polskie Linie Kolejowe S.A. </w:t>
      </w:r>
      <w:r w:rsidR="0084545F" w:rsidRPr="00A57D9F">
        <w:rPr>
          <w:rFonts w:cs="Arial"/>
          <w:b/>
          <w:bCs/>
          <w:shd w:val="clear" w:color="auto" w:fill="FFFFFF"/>
        </w:rPr>
        <w:t xml:space="preserve">kończą projekt </w:t>
      </w:r>
      <w:r w:rsidR="00DB3086" w:rsidRPr="00A57D9F">
        <w:rPr>
          <w:rFonts w:cs="Arial"/>
          <w:b/>
          <w:bCs/>
          <w:shd w:val="clear" w:color="auto" w:fill="FFFFFF"/>
        </w:rPr>
        <w:t xml:space="preserve">wart około 1,5 mld zł </w:t>
      </w:r>
      <w:r w:rsidR="0084545F" w:rsidRPr="00A57D9F">
        <w:rPr>
          <w:rFonts w:cs="Arial"/>
          <w:b/>
          <w:bCs/>
          <w:shd w:val="clear" w:color="auto" w:fill="FFFFFF"/>
        </w:rPr>
        <w:t xml:space="preserve">- </w:t>
      </w:r>
      <w:r w:rsidR="00DB3086" w:rsidRPr="00A57D9F">
        <w:rPr>
          <w:rFonts w:cs="Arial"/>
          <w:b/>
          <w:bCs/>
          <w:shd w:val="clear" w:color="auto" w:fill="FFFFFF"/>
        </w:rPr>
        <w:t xml:space="preserve">współfinansowany z unijnego Instrumentu CEF „Łącząc Europę”. </w:t>
      </w:r>
      <w:r w:rsidR="0084545F" w:rsidRPr="00A57D9F">
        <w:rPr>
          <w:rFonts w:cs="Arial"/>
          <w:b/>
          <w:bCs/>
          <w:shd w:val="clear" w:color="auto" w:fill="FFFFFF"/>
        </w:rPr>
        <w:t xml:space="preserve">Organizacja prac </w:t>
      </w:r>
      <w:r w:rsidR="0084545F" w:rsidRPr="00A57D9F">
        <w:rPr>
          <w:rFonts w:cs="Arial"/>
          <w:b/>
        </w:rPr>
        <w:t>zapewnia stały d</w:t>
      </w:r>
      <w:r w:rsidRPr="00A57D9F">
        <w:rPr>
          <w:rFonts w:cs="Arial"/>
          <w:b/>
        </w:rPr>
        <w:t>ojazd</w:t>
      </w:r>
      <w:r w:rsidR="0095786B" w:rsidRPr="00A57D9F">
        <w:rPr>
          <w:rFonts w:cs="Arial"/>
          <w:b/>
        </w:rPr>
        <w:t>u</w:t>
      </w:r>
      <w:r w:rsidRPr="00A57D9F">
        <w:rPr>
          <w:rFonts w:cs="Arial"/>
          <w:b/>
        </w:rPr>
        <w:t xml:space="preserve"> pociągów do nabrzeży.</w:t>
      </w:r>
    </w:p>
    <w:p w:rsidR="005D4E1E" w:rsidRPr="00A57D9F" w:rsidRDefault="006A4073" w:rsidP="00CF4D0F">
      <w:pPr>
        <w:spacing w:before="100" w:beforeAutospacing="1" w:after="100" w:afterAutospacing="1" w:line="360" w:lineRule="auto"/>
        <w:rPr>
          <w:rFonts w:cs="Arial"/>
        </w:rPr>
      </w:pPr>
      <w:r w:rsidRPr="00A57D9F">
        <w:rPr>
          <w:rFonts w:cs="Arial"/>
        </w:rPr>
        <w:t xml:space="preserve">Zwiększą się możliwości przeładunkowe stacji w Świnoujściu i Szczecinie. </w:t>
      </w:r>
      <w:r w:rsidR="00DB3086" w:rsidRPr="00A57D9F">
        <w:rPr>
          <w:rFonts w:cs="Arial"/>
        </w:rPr>
        <w:t xml:space="preserve">Inwestycja </w:t>
      </w:r>
      <w:r w:rsidR="0095786B" w:rsidRPr="00A57D9F">
        <w:rPr>
          <w:rFonts w:cs="Arial"/>
        </w:rPr>
        <w:t xml:space="preserve">Polskich Linii Kolejowych zapewni </w:t>
      </w:r>
      <w:r w:rsidR="00DB3086" w:rsidRPr="00A57D9F">
        <w:rPr>
          <w:rFonts w:cs="Arial"/>
        </w:rPr>
        <w:t xml:space="preserve">kursowanie dłuższych i cięższych składów. Pojadą 750-metrowe pociągi o  obciążeniu 221 </w:t>
      </w:r>
      <w:proofErr w:type="spellStart"/>
      <w:r w:rsidR="00DB3086" w:rsidRPr="00A57D9F">
        <w:rPr>
          <w:rFonts w:cs="Arial"/>
        </w:rPr>
        <w:t>kN</w:t>
      </w:r>
      <w:proofErr w:type="spellEnd"/>
      <w:r w:rsidR="00DB3086" w:rsidRPr="00A57D9F">
        <w:rPr>
          <w:rFonts w:cs="Arial"/>
        </w:rPr>
        <w:t xml:space="preserve"> na oś. </w:t>
      </w:r>
      <w:r w:rsidR="008A5D17" w:rsidRPr="00A57D9F">
        <w:rPr>
          <w:rFonts w:cs="Arial"/>
        </w:rPr>
        <w:t xml:space="preserve">Umożliwi to obsługę </w:t>
      </w:r>
      <w:r w:rsidRPr="00A57D9F">
        <w:rPr>
          <w:rFonts w:cs="Arial"/>
        </w:rPr>
        <w:t xml:space="preserve">większej liczby </w:t>
      </w:r>
      <w:r w:rsidR="0095786B" w:rsidRPr="00A57D9F">
        <w:rPr>
          <w:rFonts w:cs="Arial"/>
        </w:rPr>
        <w:t xml:space="preserve">wagonów </w:t>
      </w:r>
      <w:r w:rsidR="008A5D17" w:rsidRPr="00A57D9F">
        <w:rPr>
          <w:rFonts w:cs="Arial"/>
        </w:rPr>
        <w:t xml:space="preserve">do przewozu </w:t>
      </w:r>
      <w:r w:rsidRPr="00A57D9F">
        <w:rPr>
          <w:rFonts w:cs="Arial"/>
        </w:rPr>
        <w:t xml:space="preserve">ładunków m.in. w  </w:t>
      </w:r>
      <w:r w:rsidR="008A5D17" w:rsidRPr="00A57D9F">
        <w:rPr>
          <w:rFonts w:cs="Arial"/>
        </w:rPr>
        <w:t>kontener</w:t>
      </w:r>
      <w:r w:rsidRPr="00A57D9F">
        <w:rPr>
          <w:rFonts w:cs="Arial"/>
        </w:rPr>
        <w:t xml:space="preserve">ach </w:t>
      </w:r>
      <w:r w:rsidR="008A5D17" w:rsidRPr="00A57D9F">
        <w:rPr>
          <w:rFonts w:cs="Arial"/>
        </w:rPr>
        <w:t xml:space="preserve"> </w:t>
      </w:r>
      <w:r w:rsidR="00DB3086" w:rsidRPr="00A57D9F">
        <w:rPr>
          <w:rFonts w:cs="Arial"/>
        </w:rPr>
        <w:t>Składy towarowe zostaną obsłużone szybciej i sp</w:t>
      </w:r>
      <w:r w:rsidR="008A5D17" w:rsidRPr="00A57D9F">
        <w:rPr>
          <w:rFonts w:cs="Arial"/>
        </w:rPr>
        <w:t xml:space="preserve">rawniej. </w:t>
      </w:r>
      <w:r w:rsidRPr="00A57D9F">
        <w:rPr>
          <w:rFonts w:cs="Arial"/>
        </w:rPr>
        <w:t>C</w:t>
      </w:r>
      <w:r w:rsidR="00DB3086" w:rsidRPr="00A57D9F">
        <w:rPr>
          <w:rFonts w:cs="Arial"/>
        </w:rPr>
        <w:t>zas przeładunków w portach skróci się od kilku do nawet kilkudziesięciu minut.</w:t>
      </w:r>
    </w:p>
    <w:p w:rsidR="00EC6BF4" w:rsidRPr="00EC6BF4" w:rsidRDefault="00EC6BF4" w:rsidP="00CF4D0F">
      <w:pPr>
        <w:spacing w:before="100" w:beforeAutospacing="1" w:after="100" w:afterAutospacing="1" w:line="360" w:lineRule="auto"/>
        <w:rPr>
          <w:rFonts w:cs="Arial"/>
          <w:b/>
          <w:bCs/>
          <w:color w:val="1A1A1A"/>
          <w:shd w:val="clear" w:color="auto" w:fill="FFFFFF"/>
        </w:rPr>
      </w:pPr>
      <w:r>
        <w:rPr>
          <w:rFonts w:cs="Arial"/>
          <w:b/>
          <w:bCs/>
          <w:i/>
          <w:iCs/>
          <w:color w:val="1A1A1A"/>
          <w:shd w:val="clear" w:color="auto" w:fill="FFFFFF"/>
        </w:rPr>
        <w:t xml:space="preserve">- </w:t>
      </w:r>
      <w:r w:rsidRPr="00EC6BF4">
        <w:rPr>
          <w:rFonts w:cs="Arial"/>
          <w:b/>
          <w:bCs/>
          <w:i/>
          <w:iCs/>
          <w:color w:val="1A1A1A"/>
          <w:shd w:val="clear" w:color="auto" w:fill="FFFFFF"/>
        </w:rPr>
        <w:t>Realizowane przez PKP Polskie Linie Kolejowe S.A. projekty poprawiające kolejowy dostęp do zachodniopomorskich portów morskich, zwiększają ich potencjał, co przyczynia się do rozwoju gospodarki kraju. Dzięki wykorzystaniu środków instrumentu finansowego CEF Łącząc Europę, ekologiczny transport kolejowy staje się jeszcze bardziej bezpieczn</w:t>
      </w:r>
      <w:bookmarkStart w:id="0" w:name="_GoBack"/>
      <w:bookmarkEnd w:id="0"/>
      <w:r w:rsidRPr="00EC6BF4">
        <w:rPr>
          <w:rFonts w:cs="Arial"/>
          <w:b/>
          <w:bCs/>
          <w:i/>
          <w:iCs/>
          <w:color w:val="1A1A1A"/>
          <w:shd w:val="clear" w:color="auto" w:fill="FFFFFF"/>
        </w:rPr>
        <w:t>y i konkurencyjny względem transportu drogowego na trasach krajowych i międzynarodowych –</w:t>
      </w:r>
      <w:r w:rsidRPr="00EC6BF4">
        <w:rPr>
          <w:rFonts w:cs="Arial"/>
          <w:b/>
          <w:bCs/>
          <w:color w:val="1A1A1A"/>
          <w:shd w:val="clear" w:color="auto" w:fill="FFFFFF"/>
        </w:rPr>
        <w:t> mówi Andrzej Bittel, sekretarz stanu w Ministerstwie Infrastruktury.</w:t>
      </w:r>
    </w:p>
    <w:p w:rsidR="00E30991" w:rsidRPr="00A57D9F" w:rsidRDefault="00E30991" w:rsidP="00CF4D0F">
      <w:pPr>
        <w:spacing w:before="100" w:beforeAutospacing="1" w:after="100" w:afterAutospacing="1" w:line="360" w:lineRule="auto"/>
        <w:rPr>
          <w:rFonts w:cs="Arial"/>
        </w:rPr>
      </w:pPr>
      <w:r w:rsidRPr="00A57D9F">
        <w:rPr>
          <w:rStyle w:val="Pogrubienie"/>
          <w:rFonts w:cs="Arial"/>
          <w:color w:val="1A1A1A"/>
          <w:shd w:val="clear" w:color="auto" w:fill="FFFFFF"/>
        </w:rPr>
        <w:t>– </w:t>
      </w:r>
      <w:r w:rsidRPr="00A57D9F">
        <w:rPr>
          <w:rStyle w:val="Uwydatnienie"/>
          <w:rFonts w:cs="Arial"/>
          <w:b/>
          <w:bCs/>
          <w:color w:val="1A1A1A"/>
          <w:shd w:val="clear" w:color="auto" w:fill="FFFFFF"/>
        </w:rPr>
        <w:t>Projekty w portach Szczecin i Świnoujście są ważne w skali krajowej i międzynarodowej. Inwestycje zwiększają rolę kolei jako sprawnego, bezpiecznego i ekologicznego transportu ładunków oraz przyniosą wymierne efekty dla gospodarki. Działania PLK wpisują się w ideę Europejskiego Zielonego Ładu</w:t>
      </w:r>
      <w:r w:rsidRPr="00A57D9F">
        <w:rPr>
          <w:rStyle w:val="Pogrubienie"/>
          <w:rFonts w:cs="Arial"/>
          <w:color w:val="1A1A1A"/>
          <w:shd w:val="clear" w:color="auto" w:fill="FFFFFF"/>
        </w:rPr>
        <w:t xml:space="preserve"> – mówi </w:t>
      </w:r>
      <w:r w:rsidR="00C85373">
        <w:rPr>
          <w:rStyle w:val="Pogrubienie"/>
          <w:rFonts w:cs="Arial"/>
          <w:color w:val="1A1A1A"/>
          <w:shd w:val="clear" w:color="auto" w:fill="FFFFFF"/>
        </w:rPr>
        <w:t>Ireneusz Merchel</w:t>
      </w:r>
      <w:r w:rsidRPr="00A57D9F">
        <w:rPr>
          <w:rStyle w:val="Pogrubienie"/>
          <w:rFonts w:cs="Arial"/>
          <w:color w:val="1A1A1A"/>
          <w:shd w:val="clear" w:color="auto" w:fill="FFFFFF"/>
        </w:rPr>
        <w:t xml:space="preserve">, </w:t>
      </w:r>
      <w:r w:rsidR="00C85373">
        <w:rPr>
          <w:rStyle w:val="Pogrubienie"/>
          <w:rFonts w:cs="Arial"/>
          <w:color w:val="1A1A1A"/>
          <w:shd w:val="clear" w:color="auto" w:fill="FFFFFF"/>
        </w:rPr>
        <w:t>prezes</w:t>
      </w:r>
      <w:r w:rsidRPr="00A57D9F">
        <w:rPr>
          <w:rStyle w:val="Pogrubienie"/>
          <w:rFonts w:cs="Arial"/>
          <w:color w:val="1A1A1A"/>
          <w:shd w:val="clear" w:color="auto" w:fill="FFFFFF"/>
        </w:rPr>
        <w:t xml:space="preserve"> Zarządu PKP Polskich Linii Kolejowych S.A.</w:t>
      </w:r>
    </w:p>
    <w:p w:rsidR="00A3527E" w:rsidRDefault="00032709" w:rsidP="00CF4D0F">
      <w:pPr>
        <w:spacing w:before="100" w:beforeAutospacing="1" w:after="100" w:afterAutospacing="1" w:line="360" w:lineRule="auto"/>
        <w:rPr>
          <w:rFonts w:cs="Arial"/>
        </w:rPr>
      </w:pPr>
      <w:r w:rsidRPr="00CB02DB">
        <w:rPr>
          <w:rFonts w:cs="Arial"/>
          <w:b/>
        </w:rPr>
        <w:t>Na stacji Szczecin Port Centralny</w:t>
      </w:r>
      <w:r w:rsidRPr="00CB02DB">
        <w:rPr>
          <w:rFonts w:cs="Arial"/>
        </w:rPr>
        <w:t xml:space="preserve"> </w:t>
      </w:r>
      <w:r w:rsidR="006A4073" w:rsidRPr="00CB02DB">
        <w:rPr>
          <w:rFonts w:cs="Arial"/>
        </w:rPr>
        <w:t xml:space="preserve">została wykonana większość prac. </w:t>
      </w:r>
      <w:r w:rsidR="00A7640D" w:rsidRPr="00CB02DB">
        <w:rPr>
          <w:rFonts w:cs="Arial"/>
        </w:rPr>
        <w:t>Zakończono budowę nowych ukł</w:t>
      </w:r>
      <w:r w:rsidR="00FD2436">
        <w:rPr>
          <w:rFonts w:cs="Arial"/>
        </w:rPr>
        <w:t xml:space="preserve">adów torowych wraz z rozjazdami. </w:t>
      </w:r>
      <w:r w:rsidR="00FD2436" w:rsidRPr="00A57D9F">
        <w:rPr>
          <w:rFonts w:cs="Arial"/>
        </w:rPr>
        <w:t>Sprawny i bezpieczny przewóz towarów do i z portu zapewnia</w:t>
      </w:r>
      <w:r w:rsidR="00FD2436">
        <w:rPr>
          <w:rFonts w:cs="Arial"/>
        </w:rPr>
        <w:t>ją</w:t>
      </w:r>
      <w:r w:rsidR="00FD2436" w:rsidRPr="00A57D9F">
        <w:rPr>
          <w:rFonts w:cs="Arial"/>
        </w:rPr>
        <w:t xml:space="preserve"> </w:t>
      </w:r>
      <w:r w:rsidR="00FD2436">
        <w:rPr>
          <w:rFonts w:cs="Arial"/>
        </w:rPr>
        <w:t>z</w:t>
      </w:r>
      <w:r w:rsidR="00FD2436" w:rsidRPr="00A57D9F">
        <w:rPr>
          <w:rFonts w:cs="Arial"/>
        </w:rPr>
        <w:t>moderni</w:t>
      </w:r>
      <w:r w:rsidR="00FD2436">
        <w:rPr>
          <w:rFonts w:cs="Arial"/>
        </w:rPr>
        <w:t>zowane obiekty inżynieryjne.</w:t>
      </w:r>
      <w:r w:rsidR="00A3527E" w:rsidRPr="00CB02DB">
        <w:rPr>
          <w:rFonts w:cs="Arial"/>
        </w:rPr>
        <w:t xml:space="preserve"> </w:t>
      </w:r>
      <w:r w:rsidR="00FD2436">
        <w:rPr>
          <w:rFonts w:cs="Arial"/>
        </w:rPr>
        <w:t>Postępują</w:t>
      </w:r>
      <w:r w:rsidR="00A3527E" w:rsidRPr="00CB02DB">
        <w:rPr>
          <w:rFonts w:cs="Arial"/>
        </w:rPr>
        <w:t xml:space="preserve"> </w:t>
      </w:r>
      <w:r w:rsidR="00A7640D" w:rsidRPr="00CB02DB">
        <w:rPr>
          <w:rFonts w:cs="Arial"/>
        </w:rPr>
        <w:t xml:space="preserve"> </w:t>
      </w:r>
      <w:r w:rsidR="00A3527E" w:rsidRPr="00CB02DB">
        <w:rPr>
          <w:rFonts w:cs="Arial"/>
        </w:rPr>
        <w:t>prace związane z robotami okołotorowymi, profilowanie i wzmacnianie nasypów, budowa placów i wew</w:t>
      </w:r>
      <w:r w:rsidR="00C54962">
        <w:rPr>
          <w:rFonts w:cs="Arial"/>
        </w:rPr>
        <w:t xml:space="preserve">nętrznych dróg dojazdowych, </w:t>
      </w:r>
      <w:r w:rsidR="00A3527E" w:rsidRPr="00CB02DB">
        <w:rPr>
          <w:rFonts w:cs="Arial"/>
        </w:rPr>
        <w:t>wywieszanie sieci trakcyjne</w:t>
      </w:r>
      <w:r w:rsidR="00F5590F">
        <w:rPr>
          <w:rFonts w:cs="Arial"/>
        </w:rPr>
        <w:t>j.</w:t>
      </w:r>
    </w:p>
    <w:p w:rsidR="008922FA" w:rsidRPr="00CB02DB" w:rsidRDefault="00A3527E" w:rsidP="00CF4D0F">
      <w:pPr>
        <w:spacing w:before="100" w:beforeAutospacing="1" w:after="100" w:afterAutospacing="1" w:line="360" w:lineRule="auto"/>
        <w:jc w:val="both"/>
        <w:rPr>
          <w:rFonts w:cs="Arial"/>
        </w:rPr>
      </w:pPr>
      <w:r w:rsidRPr="00CB02DB">
        <w:rPr>
          <w:rFonts w:cs="Arial"/>
        </w:rPr>
        <w:lastRenderedPageBreak/>
        <w:t xml:space="preserve">W fazie końcowej znajduje się budowa nowej Nastawni Centralnej, </w:t>
      </w:r>
      <w:r w:rsidR="008922FA" w:rsidRPr="00CB02DB">
        <w:rPr>
          <w:rFonts w:cs="Arial"/>
        </w:rPr>
        <w:t>do której  w ramach centralizacji sterowania ruchem kolejowym, zostanie przeniesione sterowanie z pięciu okręgów nastawczych.</w:t>
      </w:r>
    </w:p>
    <w:p w:rsidR="008922FA" w:rsidRPr="00CB02DB" w:rsidRDefault="008922FA" w:rsidP="00CF4D0F">
      <w:pPr>
        <w:spacing w:before="100" w:beforeAutospacing="1" w:after="100" w:afterAutospacing="1" w:line="360" w:lineRule="auto"/>
        <w:jc w:val="both"/>
        <w:rPr>
          <w:rFonts w:cs="Arial"/>
        </w:rPr>
      </w:pPr>
      <w:r w:rsidRPr="00CB02DB">
        <w:rPr>
          <w:rFonts w:cs="Arial"/>
        </w:rPr>
        <w:t>W budynku nowej Nastawni Centralnej zostanie zlokalizowane Centrum Utrzymania i Diagnostyki.</w:t>
      </w:r>
    </w:p>
    <w:p w:rsidR="00A3527E" w:rsidRPr="00CB02DB" w:rsidRDefault="008922FA" w:rsidP="00CF4D0F">
      <w:pPr>
        <w:spacing w:before="100" w:beforeAutospacing="1" w:after="100" w:afterAutospacing="1" w:line="360" w:lineRule="auto"/>
        <w:jc w:val="both"/>
        <w:rPr>
          <w:rFonts w:cs="Arial"/>
        </w:rPr>
      </w:pPr>
      <w:r w:rsidRPr="00CB02DB">
        <w:rPr>
          <w:rFonts w:cs="Arial"/>
        </w:rPr>
        <w:t xml:space="preserve">Centralizacja sterowania ruchem kolejowym </w:t>
      </w:r>
      <w:r w:rsidR="00FA4896" w:rsidRPr="00CB02DB">
        <w:rPr>
          <w:rFonts w:cs="Arial"/>
        </w:rPr>
        <w:t xml:space="preserve">poprawi funkcjonalność stacji, </w:t>
      </w:r>
      <w:r w:rsidRPr="00CB02DB">
        <w:rPr>
          <w:rFonts w:cs="Arial"/>
        </w:rPr>
        <w:t>zwiększy</w:t>
      </w:r>
      <w:r w:rsidR="00FA4896" w:rsidRPr="00CB02DB">
        <w:rPr>
          <w:rFonts w:cs="Arial"/>
        </w:rPr>
        <w:t xml:space="preserve"> </w:t>
      </w:r>
      <w:r w:rsidRPr="00CB02DB">
        <w:rPr>
          <w:rFonts w:cs="Arial"/>
        </w:rPr>
        <w:t>przepustowość infrastruktury kolejowej</w:t>
      </w:r>
      <w:r w:rsidR="007E4E27">
        <w:rPr>
          <w:rFonts w:cs="Arial"/>
        </w:rPr>
        <w:t xml:space="preserve"> oraz </w:t>
      </w:r>
      <w:r w:rsidR="00FA4896" w:rsidRPr="00CB02DB">
        <w:rPr>
          <w:rFonts w:cs="Arial"/>
        </w:rPr>
        <w:t xml:space="preserve">bezpieczeństwo ruchu kolejowego.   </w:t>
      </w:r>
      <w:r w:rsidR="00A3527E" w:rsidRPr="00CB02DB">
        <w:rPr>
          <w:rFonts w:cs="Arial"/>
        </w:rPr>
        <w:t xml:space="preserve"> </w:t>
      </w:r>
    </w:p>
    <w:p w:rsidR="00233485" w:rsidRPr="00CB02DB" w:rsidRDefault="00233485" w:rsidP="00CF4D0F">
      <w:pPr>
        <w:spacing w:before="100" w:beforeAutospacing="1" w:after="100" w:afterAutospacing="1" w:line="360" w:lineRule="auto"/>
        <w:rPr>
          <w:rFonts w:cs="Arial"/>
        </w:rPr>
      </w:pPr>
      <w:r w:rsidRPr="00CB02DB">
        <w:rPr>
          <w:rFonts w:cs="Arial"/>
          <w:b/>
        </w:rPr>
        <w:t>Na stacji Świnoujście</w:t>
      </w:r>
      <w:r w:rsidRPr="00CB02DB">
        <w:rPr>
          <w:rFonts w:cs="Arial"/>
        </w:rPr>
        <w:t xml:space="preserve"> została wykonana większość prac. Zakończono budowę nowych układów torowych wraz z rozjazdami oraz przebudowano jeden</w:t>
      </w:r>
      <w:r w:rsidR="00AE1C75" w:rsidRPr="00CB02DB">
        <w:rPr>
          <w:rFonts w:cs="Arial"/>
        </w:rPr>
        <w:t xml:space="preserve"> obiekt</w:t>
      </w:r>
      <w:r w:rsidRPr="00CB02DB">
        <w:rPr>
          <w:rFonts w:cs="Arial"/>
        </w:rPr>
        <w:t xml:space="preserve"> inżynieryjny (przepust</w:t>
      </w:r>
      <w:r w:rsidR="00FD2436">
        <w:rPr>
          <w:rFonts w:cs="Arial"/>
        </w:rPr>
        <w:t>). Postępują</w:t>
      </w:r>
      <w:r w:rsidRPr="00CB02DB">
        <w:rPr>
          <w:rFonts w:cs="Arial"/>
        </w:rPr>
        <w:t xml:space="preserve">  prace związane z robotami okołotorowymi, profilowanie i wzmac</w:t>
      </w:r>
      <w:r w:rsidR="00AE1C75" w:rsidRPr="00CB02DB">
        <w:rPr>
          <w:rFonts w:cs="Arial"/>
        </w:rPr>
        <w:t>nianie nasypów, budowa placów i wewnętrznych dróg dojazdowych.</w:t>
      </w:r>
      <w:r w:rsidR="00744F7A" w:rsidRPr="00744F7A">
        <w:rPr>
          <w:rFonts w:cs="Arial"/>
        </w:rPr>
        <w:t xml:space="preserve"> </w:t>
      </w:r>
      <w:r w:rsidR="00744F7A" w:rsidRPr="00A57D9F">
        <w:rPr>
          <w:rFonts w:cs="Arial"/>
        </w:rPr>
        <w:t xml:space="preserve">W rejonie Portu Świnoujście </w:t>
      </w:r>
      <w:r w:rsidR="00C25699">
        <w:rPr>
          <w:rFonts w:cs="Arial"/>
        </w:rPr>
        <w:t>wybudowany został drugi</w:t>
      </w:r>
      <w:r w:rsidR="00744F7A" w:rsidRPr="00A57D9F">
        <w:rPr>
          <w:rFonts w:cs="Arial"/>
        </w:rPr>
        <w:t xml:space="preserve"> tor między stacjami Świnoujście Przytór a Świnoujście. Dzięki temu zwiększy</w:t>
      </w:r>
      <w:r w:rsidR="00C25699">
        <w:rPr>
          <w:rFonts w:cs="Arial"/>
        </w:rPr>
        <w:t>ła</w:t>
      </w:r>
      <w:r w:rsidR="00744F7A" w:rsidRPr="00A57D9F">
        <w:rPr>
          <w:rFonts w:cs="Arial"/>
        </w:rPr>
        <w:t xml:space="preserve"> się przepustowość –</w:t>
      </w:r>
      <w:r w:rsidR="00017F01">
        <w:rPr>
          <w:rFonts w:cs="Arial"/>
        </w:rPr>
        <w:t xml:space="preserve"> </w:t>
      </w:r>
      <w:r w:rsidR="00C25699">
        <w:rPr>
          <w:rFonts w:cs="Arial"/>
        </w:rPr>
        <w:t>może pojechać</w:t>
      </w:r>
      <w:r w:rsidR="00744F7A" w:rsidRPr="00A57D9F">
        <w:rPr>
          <w:rFonts w:cs="Arial"/>
        </w:rPr>
        <w:t xml:space="preserve"> więcej pociągów, co zapewni</w:t>
      </w:r>
      <w:r w:rsidR="00C25699">
        <w:rPr>
          <w:rFonts w:cs="Arial"/>
        </w:rPr>
        <w:t>a</w:t>
      </w:r>
      <w:r w:rsidR="00744F7A" w:rsidRPr="00A57D9F">
        <w:rPr>
          <w:rFonts w:cs="Arial"/>
        </w:rPr>
        <w:t xml:space="preserve"> lepszą ofertę przewozową.</w:t>
      </w:r>
    </w:p>
    <w:p w:rsidR="00233485" w:rsidRPr="00CB02DB" w:rsidRDefault="002C1955" w:rsidP="00CF4D0F">
      <w:pPr>
        <w:spacing w:before="100" w:beforeAutospacing="1" w:after="100" w:afterAutospacing="1" w:line="360" w:lineRule="auto"/>
        <w:rPr>
          <w:rFonts w:cs="Arial"/>
        </w:rPr>
      </w:pPr>
      <w:r>
        <w:rPr>
          <w:rFonts w:cs="Arial"/>
        </w:rPr>
        <w:t>Podobnie jak w Szczecinie w</w:t>
      </w:r>
      <w:r w:rsidR="00233485" w:rsidRPr="00CB02DB">
        <w:rPr>
          <w:rFonts w:cs="Arial"/>
        </w:rPr>
        <w:t xml:space="preserve"> fazie końcowej znajduje się budowa Nastawni Centralnej, do której w ramach centralizacji sterowania ruchem kolejowym, zostanie przeniesione sterowanie</w:t>
      </w:r>
      <w:r>
        <w:rPr>
          <w:rFonts w:cs="Arial"/>
        </w:rPr>
        <w:t xml:space="preserve"> z trzech okręg</w:t>
      </w:r>
      <w:r w:rsidR="007E4E27">
        <w:rPr>
          <w:rFonts w:cs="Arial"/>
        </w:rPr>
        <w:t xml:space="preserve">ów nastawczych, dzięki czemu </w:t>
      </w:r>
      <w:r w:rsidR="00233485" w:rsidRPr="00CB02DB">
        <w:rPr>
          <w:rFonts w:cs="Arial"/>
        </w:rPr>
        <w:t xml:space="preserve">poprawi </w:t>
      </w:r>
      <w:r w:rsidR="007E4E27">
        <w:rPr>
          <w:rFonts w:cs="Arial"/>
        </w:rPr>
        <w:t xml:space="preserve">się </w:t>
      </w:r>
      <w:r w:rsidR="00233485" w:rsidRPr="00CB02DB">
        <w:rPr>
          <w:rFonts w:cs="Arial"/>
        </w:rPr>
        <w:t>funkcjonalność stacji, zwiększy przepustowość infrastruktury kolejowej oraz b</w:t>
      </w:r>
      <w:r w:rsidR="007E4E27">
        <w:rPr>
          <w:rFonts w:cs="Arial"/>
        </w:rPr>
        <w:t>ezpieczeństwo ruchu kolejowego.</w:t>
      </w:r>
    </w:p>
    <w:p w:rsidR="00795B82" w:rsidRPr="00795B82" w:rsidRDefault="00795B82" w:rsidP="00CF4D0F">
      <w:pPr>
        <w:spacing w:before="100" w:beforeAutospacing="1" w:after="100" w:afterAutospacing="1" w:line="360" w:lineRule="auto"/>
        <w:rPr>
          <w:rFonts w:cs="Arial"/>
          <w:b/>
          <w:bCs/>
          <w:color w:val="1A1A1A"/>
          <w:shd w:val="clear" w:color="auto" w:fill="FFFFFF"/>
        </w:rPr>
      </w:pPr>
      <w:r w:rsidRPr="00795B82">
        <w:rPr>
          <w:rFonts w:cs="Arial"/>
          <w:b/>
          <w:bCs/>
          <w:color w:val="1A1A1A"/>
          <w:shd w:val="clear" w:color="auto" w:fill="FFFFFF"/>
        </w:rPr>
        <w:t>– </w:t>
      </w:r>
      <w:r w:rsidRPr="00795B82">
        <w:rPr>
          <w:rFonts w:cs="Arial"/>
          <w:b/>
          <w:bCs/>
          <w:i/>
          <w:iCs/>
          <w:color w:val="1A1A1A"/>
          <w:shd w:val="clear" w:color="auto" w:fill="FFFFFF"/>
        </w:rPr>
        <w:t xml:space="preserve">Prace na torach dojazdowych do portów w Szczecinie i Świnoujściu to ważny i strategiczny projekt współfinansowany z CEF w wysokości prawie 120 mln EUR. Dzięki inwestycji poprawi się kolejowy dostęp do portów, co oznacza, że do i z portów więcej towarów zostanie przewiezionych ekologicznym transportem, jakim jest kolej. To także ważne przedsięwzięcie dla rozwoju transportu intermodalnego, które przyczynia się do realizacji Europejskiego Zielonego ładu </w:t>
      </w:r>
      <w:r w:rsidRPr="00795B82">
        <w:rPr>
          <w:rFonts w:cs="Arial"/>
          <w:b/>
          <w:bCs/>
          <w:color w:val="1A1A1A"/>
          <w:shd w:val="clear" w:color="auto" w:fill="FFFFFF"/>
        </w:rPr>
        <w:t xml:space="preserve">– mówi </w:t>
      </w:r>
      <w:proofErr w:type="spellStart"/>
      <w:r w:rsidRPr="00795B82">
        <w:rPr>
          <w:rFonts w:cs="Arial"/>
          <w:b/>
          <w:bCs/>
          <w:color w:val="1A1A1A"/>
          <w:shd w:val="clear" w:color="auto" w:fill="FFFFFF"/>
        </w:rPr>
        <w:t>Morten</w:t>
      </w:r>
      <w:proofErr w:type="spellEnd"/>
      <w:r w:rsidRPr="00795B82">
        <w:rPr>
          <w:rFonts w:cs="Arial"/>
          <w:b/>
          <w:bCs/>
          <w:color w:val="1A1A1A"/>
          <w:shd w:val="clear" w:color="auto" w:fill="FFFFFF"/>
        </w:rPr>
        <w:t xml:space="preserve"> Jensen, </w:t>
      </w:r>
      <w:proofErr w:type="spellStart"/>
      <w:r w:rsidRPr="00795B82">
        <w:rPr>
          <w:rFonts w:cs="Arial"/>
          <w:b/>
          <w:bCs/>
          <w:color w:val="1A1A1A"/>
          <w:shd w:val="clear" w:color="auto" w:fill="FFFFFF"/>
        </w:rPr>
        <w:t>Head</w:t>
      </w:r>
      <w:proofErr w:type="spellEnd"/>
      <w:r w:rsidRPr="00795B82">
        <w:rPr>
          <w:rFonts w:cs="Arial"/>
          <w:b/>
          <w:bCs/>
          <w:color w:val="1A1A1A"/>
          <w:shd w:val="clear" w:color="auto" w:fill="FFFFFF"/>
        </w:rPr>
        <w:t xml:space="preserve"> of Unit </w:t>
      </w:r>
      <w:proofErr w:type="spellStart"/>
      <w:r w:rsidRPr="00795B82">
        <w:rPr>
          <w:rFonts w:cs="Arial"/>
          <w:b/>
          <w:bCs/>
          <w:color w:val="1A1A1A"/>
          <w:shd w:val="clear" w:color="auto" w:fill="FFFFFF"/>
        </w:rPr>
        <w:t>at</w:t>
      </w:r>
      <w:proofErr w:type="spellEnd"/>
      <w:r w:rsidRPr="00795B82">
        <w:rPr>
          <w:rFonts w:cs="Arial"/>
          <w:b/>
          <w:bCs/>
          <w:color w:val="1A1A1A"/>
          <w:shd w:val="clear" w:color="auto" w:fill="FFFFFF"/>
        </w:rPr>
        <w:t xml:space="preserve"> CINEA. </w:t>
      </w:r>
    </w:p>
    <w:p w:rsidR="007B29ED" w:rsidRDefault="007B29ED" w:rsidP="00CF4D0F">
      <w:pPr>
        <w:spacing w:before="100" w:beforeAutospacing="1" w:after="100" w:afterAutospacing="1" w:line="360" w:lineRule="auto"/>
        <w:rPr>
          <w:rFonts w:cs="Arial"/>
        </w:rPr>
      </w:pPr>
      <w:r w:rsidRPr="004A0C6A">
        <w:rPr>
          <w:rFonts w:cs="Arial"/>
        </w:rPr>
        <w:t xml:space="preserve">Inwestycja „Poprawa dostępu kolejowego do portów morskich w Szczecinie i Świnoujściu” warta około 1,5 miliarda złotych dofinansowana jest z unijnego instrumentu finansowego CEF – „Łącząc Europę”. Wartość dofinansowania to 510 mln zł. Zakończenie prac planowane jest na </w:t>
      </w:r>
      <w:r>
        <w:rPr>
          <w:rFonts w:cs="Arial"/>
        </w:rPr>
        <w:t xml:space="preserve">drugą </w:t>
      </w:r>
      <w:r w:rsidRPr="004A0C6A">
        <w:rPr>
          <w:rFonts w:cs="Arial"/>
        </w:rPr>
        <w:t>połowę 2022 roku.</w:t>
      </w:r>
    </w:p>
    <w:p w:rsidR="00DB3086" w:rsidRPr="00A57D9F" w:rsidRDefault="00F71441" w:rsidP="00CF4D0F">
      <w:pPr>
        <w:pStyle w:val="Nagwek2"/>
        <w:spacing w:before="100" w:beforeAutospacing="1" w:after="100" w:afterAutospacing="1" w:line="360" w:lineRule="auto"/>
        <w:rPr>
          <w:rFonts w:ascii="Arial" w:hAnsi="Arial" w:cs="Arial"/>
          <w:b/>
          <w:color w:val="auto"/>
          <w:sz w:val="22"/>
          <w:szCs w:val="22"/>
        </w:rPr>
      </w:pPr>
      <w:r w:rsidRPr="00A57D9F">
        <w:rPr>
          <w:rFonts w:ascii="Arial" w:hAnsi="Arial" w:cs="Arial"/>
          <w:b/>
          <w:color w:val="auto"/>
          <w:sz w:val="22"/>
          <w:szCs w:val="22"/>
        </w:rPr>
        <w:t>Inwestycja w liczbach</w:t>
      </w:r>
    </w:p>
    <w:p w:rsidR="00DB3086" w:rsidRPr="00A57D9F" w:rsidRDefault="00DB3086" w:rsidP="00CF4D0F">
      <w:pPr>
        <w:pStyle w:val="Akapitzlist"/>
        <w:numPr>
          <w:ilvl w:val="0"/>
          <w:numId w:val="1"/>
        </w:numPr>
        <w:spacing w:before="100" w:beforeAutospacing="1" w:after="100" w:afterAutospacing="1" w:line="360" w:lineRule="auto"/>
        <w:contextualSpacing w:val="0"/>
        <w:rPr>
          <w:rFonts w:cs="Arial"/>
        </w:rPr>
      </w:pPr>
      <w:r w:rsidRPr="00A57D9F">
        <w:rPr>
          <w:rFonts w:cs="Arial"/>
        </w:rPr>
        <w:t>96 km nowych torów (61 km w Szczecinie i 35 km w Świnoujściu)</w:t>
      </w:r>
    </w:p>
    <w:p w:rsidR="00DB3086" w:rsidRPr="00A57D9F" w:rsidRDefault="00DB3086" w:rsidP="00CF4D0F">
      <w:pPr>
        <w:pStyle w:val="Akapitzlist"/>
        <w:numPr>
          <w:ilvl w:val="0"/>
          <w:numId w:val="1"/>
        </w:numPr>
        <w:spacing w:before="100" w:beforeAutospacing="1" w:after="100" w:afterAutospacing="1" w:line="360" w:lineRule="auto"/>
        <w:contextualSpacing w:val="0"/>
        <w:rPr>
          <w:rFonts w:cs="Arial"/>
        </w:rPr>
      </w:pPr>
      <w:r w:rsidRPr="00A57D9F">
        <w:rPr>
          <w:rFonts w:cs="Arial"/>
        </w:rPr>
        <w:t>285 rozjazdów (177 w Szczecinie i 108 w Świnoujściu)</w:t>
      </w:r>
    </w:p>
    <w:p w:rsidR="00DB3086" w:rsidRPr="00A57D9F" w:rsidRDefault="00DB3086" w:rsidP="00CF4D0F">
      <w:pPr>
        <w:pStyle w:val="Akapitzlist"/>
        <w:numPr>
          <w:ilvl w:val="0"/>
          <w:numId w:val="1"/>
        </w:numPr>
        <w:spacing w:before="100" w:beforeAutospacing="1" w:after="100" w:afterAutospacing="1" w:line="360" w:lineRule="auto"/>
        <w:contextualSpacing w:val="0"/>
        <w:rPr>
          <w:rFonts w:cs="Arial"/>
        </w:rPr>
      </w:pPr>
      <w:r w:rsidRPr="00A57D9F">
        <w:rPr>
          <w:rFonts w:cs="Arial"/>
        </w:rPr>
        <w:t>84 km nowej sieci trakcyjnej (ok. 50 km w Szczecinie i 34 km w Świnoujściu)</w:t>
      </w:r>
    </w:p>
    <w:p w:rsidR="00DB3086" w:rsidRPr="00A57D9F" w:rsidRDefault="00D417ED" w:rsidP="00CF4D0F">
      <w:pPr>
        <w:pStyle w:val="Akapitzlist"/>
        <w:numPr>
          <w:ilvl w:val="0"/>
          <w:numId w:val="1"/>
        </w:numPr>
        <w:spacing w:before="100" w:beforeAutospacing="1" w:after="100" w:afterAutospacing="1" w:line="360" w:lineRule="auto"/>
        <w:contextualSpacing w:val="0"/>
        <w:rPr>
          <w:rFonts w:cs="Arial"/>
        </w:rPr>
      </w:pPr>
      <w:r w:rsidRPr="00A57D9F">
        <w:rPr>
          <w:rFonts w:cs="Arial"/>
        </w:rPr>
        <w:t>22</w:t>
      </w:r>
      <w:r w:rsidR="00DB3086" w:rsidRPr="00A57D9F">
        <w:rPr>
          <w:rFonts w:cs="Arial"/>
        </w:rPr>
        <w:t xml:space="preserve"> przebudowane przejazdy kolejowo-drogowe (12 w Szczecinie i 10 w Świnoujściu)</w:t>
      </w:r>
    </w:p>
    <w:p w:rsidR="00A57D9F" w:rsidRDefault="00A57D9F" w:rsidP="00795B82">
      <w:pPr>
        <w:spacing w:before="120" w:after="120" w:line="240" w:lineRule="auto"/>
        <w:rPr>
          <w:rStyle w:val="Pogrubienie"/>
          <w:rFonts w:cs="Arial"/>
        </w:rPr>
      </w:pPr>
    </w:p>
    <w:p w:rsidR="005D4E1E" w:rsidRPr="00DE73BF" w:rsidRDefault="005D4E1E" w:rsidP="00795B82">
      <w:pPr>
        <w:spacing w:before="120" w:after="120" w:line="240" w:lineRule="auto"/>
        <w:rPr>
          <w:rStyle w:val="Pogrubienie"/>
          <w:rFonts w:cs="Arial"/>
        </w:rPr>
      </w:pPr>
      <w:r w:rsidRPr="00DE73BF">
        <w:rPr>
          <w:rStyle w:val="Pogrubienie"/>
          <w:rFonts w:cs="Arial"/>
        </w:rPr>
        <w:lastRenderedPageBreak/>
        <w:t>Kontakt dla mediów:</w:t>
      </w:r>
    </w:p>
    <w:p w:rsidR="005D4E1E" w:rsidRPr="00DE73BF" w:rsidRDefault="005D4E1E" w:rsidP="00795B82">
      <w:pPr>
        <w:spacing w:before="120" w:after="120" w:line="240" w:lineRule="auto"/>
        <w:rPr>
          <w:rFonts w:cs="Arial"/>
          <w:noProof/>
        </w:rPr>
      </w:pPr>
      <w:r w:rsidRPr="00DE73BF">
        <w:rPr>
          <w:rFonts w:cs="Arial"/>
          <w:noProof/>
        </w:rPr>
        <w:t>Bartosz Pietrzykowski</w:t>
      </w:r>
    </w:p>
    <w:p w:rsidR="005D4E1E" w:rsidRPr="00DE73BF" w:rsidRDefault="005D4E1E" w:rsidP="00795B82">
      <w:pPr>
        <w:spacing w:before="120" w:after="120" w:line="240" w:lineRule="auto"/>
        <w:rPr>
          <w:rFonts w:cs="Arial"/>
          <w:noProof/>
        </w:rPr>
      </w:pPr>
      <w:r w:rsidRPr="00DE73BF">
        <w:rPr>
          <w:rFonts w:cs="Arial"/>
          <w:noProof/>
        </w:rPr>
        <w:t xml:space="preserve">zespół prasowy </w:t>
      </w:r>
    </w:p>
    <w:p w:rsidR="005D4E1E" w:rsidRPr="00DE73BF" w:rsidRDefault="005D4E1E" w:rsidP="00795B82">
      <w:pPr>
        <w:spacing w:before="120" w:after="120" w:line="240" w:lineRule="auto"/>
        <w:rPr>
          <w:rFonts w:cs="Arial"/>
          <w:noProof/>
        </w:rPr>
      </w:pPr>
      <w:r w:rsidRPr="00DE73BF">
        <w:rPr>
          <w:rFonts w:cs="Arial"/>
          <w:noProof/>
        </w:rPr>
        <w:t>PKP Polskie Linie Kolejowe S.A.</w:t>
      </w:r>
    </w:p>
    <w:p w:rsidR="005D4E1E" w:rsidRPr="00DE73BF" w:rsidRDefault="005840B3" w:rsidP="00795B82">
      <w:pPr>
        <w:spacing w:before="120" w:after="120" w:line="240" w:lineRule="auto"/>
        <w:rPr>
          <w:rFonts w:cs="Arial"/>
          <w:noProof/>
        </w:rPr>
      </w:pPr>
      <w:hyperlink r:id="rId8" w:history="1">
        <w:r w:rsidR="005D4E1E" w:rsidRPr="00DE73BF">
          <w:rPr>
            <w:rStyle w:val="Hipercze"/>
            <w:rFonts w:cs="Arial"/>
            <w:noProof/>
            <w:color w:val="0563C1"/>
          </w:rPr>
          <w:t>rzecznik@plk-sa.pl</w:t>
        </w:r>
      </w:hyperlink>
    </w:p>
    <w:p w:rsidR="005D4E1E" w:rsidRPr="00DE73BF" w:rsidRDefault="005D4E1E" w:rsidP="00795B82">
      <w:pPr>
        <w:spacing w:before="120" w:after="120" w:line="240" w:lineRule="auto"/>
        <w:rPr>
          <w:rFonts w:cs="Arial"/>
        </w:rPr>
      </w:pPr>
      <w:r w:rsidRPr="00DE73BF">
        <w:rPr>
          <w:rFonts w:cs="Arial"/>
          <w:noProof/>
        </w:rPr>
        <w:t>T: +48 515 736 460</w:t>
      </w:r>
    </w:p>
    <w:p w:rsidR="005D4E1E" w:rsidRPr="006619AE" w:rsidRDefault="005D4E1E" w:rsidP="00795B82">
      <w:pPr>
        <w:spacing w:before="120" w:after="120" w:line="360" w:lineRule="auto"/>
        <w:rPr>
          <w:rFonts w:cs="Arial"/>
          <w:sz w:val="20"/>
        </w:rPr>
      </w:pPr>
    </w:p>
    <w:p w:rsidR="005D4E1E" w:rsidRPr="006619AE" w:rsidRDefault="005D4E1E" w:rsidP="00795B82">
      <w:pPr>
        <w:spacing w:before="120" w:after="120" w:line="360" w:lineRule="auto"/>
        <w:rPr>
          <w:rFonts w:cs="Arial"/>
        </w:rPr>
      </w:pPr>
      <w:r w:rsidRPr="006619AE">
        <w:rPr>
          <w:rFonts w:cs="Arial"/>
        </w:rPr>
        <w:t xml:space="preserve">Projekt jest współfinansowany przez Unię Europejską z instrumentu „Łącząc Europę”.  </w:t>
      </w:r>
    </w:p>
    <w:p w:rsidR="007E17B2" w:rsidRDefault="005D4E1E" w:rsidP="00795B82">
      <w:pPr>
        <w:spacing w:before="120" w:after="120" w:line="360" w:lineRule="auto"/>
        <w:rPr>
          <w:rFonts w:cs="Arial"/>
        </w:rPr>
      </w:pPr>
      <w:r w:rsidRPr="006619AE">
        <w:rPr>
          <w:rFonts w:cs="Arial"/>
        </w:rPr>
        <w:t>Wyłączną odpowiedzialność za treść publikacji ponosi jej autor. Unia Europejska nie odpowiada za ewentualne wykorzystanie informacji zawartych w takiej publikacji.</w:t>
      </w:r>
    </w:p>
    <w:sectPr w:rsidR="007E17B2"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0B3" w:rsidRDefault="005840B3">
      <w:pPr>
        <w:spacing w:after="0" w:line="240" w:lineRule="auto"/>
      </w:pPr>
      <w:r>
        <w:separator/>
      </w:r>
    </w:p>
  </w:endnote>
  <w:endnote w:type="continuationSeparator" w:id="0">
    <w:p w:rsidR="005840B3" w:rsidRDefault="0058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74" w:rsidRDefault="005840B3" w:rsidP="00400514">
    <w:pPr>
      <w:spacing w:after="0" w:line="240" w:lineRule="auto"/>
      <w:rPr>
        <w:rFonts w:cs="Arial"/>
        <w:color w:val="727271"/>
        <w:sz w:val="14"/>
        <w:szCs w:val="14"/>
      </w:rPr>
    </w:pPr>
  </w:p>
  <w:p w:rsidR="00EC755D" w:rsidRDefault="00251F61" w:rsidP="00400514">
    <w:pPr>
      <w:spacing w:after="0" w:line="240" w:lineRule="auto"/>
      <w:rPr>
        <w:rFonts w:cs="Arial"/>
        <w:color w:val="727271"/>
        <w:sz w:val="14"/>
        <w:szCs w:val="14"/>
      </w:rPr>
    </w:pPr>
    <w:r>
      <w:rPr>
        <w:rFonts w:cs="Arial"/>
        <w:color w:val="727271"/>
        <w:sz w:val="14"/>
        <w:szCs w:val="14"/>
      </w:rPr>
      <w:t>Spółka wpisana do rejestru przedsiębiorców prowadzonego przez Sąd Rejonowy dla m. st. Warszawy w Warszawie</w:t>
    </w:r>
  </w:p>
  <w:p w:rsidR="00EC755D" w:rsidRDefault="00251F61" w:rsidP="00400514">
    <w:pPr>
      <w:spacing w:after="0" w:line="240" w:lineRule="auto"/>
      <w:rPr>
        <w:rFonts w:cs="Arial"/>
        <w:color w:val="727271"/>
        <w:sz w:val="14"/>
        <w:szCs w:val="14"/>
      </w:rPr>
    </w:pPr>
    <w:r>
      <w:rPr>
        <w:rFonts w:cs="Arial"/>
        <w:color w:val="727271"/>
        <w:sz w:val="14"/>
        <w:szCs w:val="14"/>
      </w:rPr>
      <w:t xml:space="preserve">XIV Wydział Gospodarczy - Krajowego Rejestru Sądowego pod numerem KRS 0000037568, NIP 113-23-16-427, REGON 017319027. </w:t>
    </w:r>
  </w:p>
  <w:p w:rsidR="00860074" w:rsidRPr="00EC755D" w:rsidRDefault="00251F61" w:rsidP="00400514">
    <w:pPr>
      <w:spacing w:after="0" w:line="240" w:lineRule="auto"/>
    </w:pPr>
    <w:r>
      <w:rPr>
        <w:rFonts w:cs="Arial"/>
        <w:color w:val="727271"/>
        <w:sz w:val="14"/>
        <w:szCs w:val="14"/>
      </w:rPr>
      <w:t xml:space="preserve">Wysokość kapitału zakładowego w całości wpłaconego: </w:t>
    </w:r>
    <w:r w:rsidR="005A1D8A" w:rsidRPr="005A1D8A">
      <w:rPr>
        <w:rFonts w:cs="Arial"/>
        <w:color w:val="727271"/>
        <w:sz w:val="14"/>
        <w:szCs w:val="14"/>
      </w:rPr>
      <w:t xml:space="preserve">30.918.953.000,00 </w:t>
    </w:r>
    <w:r w:rsidRPr="00077D0A">
      <w:rPr>
        <w:rFonts w:cs="Arial"/>
        <w:color w:val="727271"/>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0B3" w:rsidRDefault="005840B3">
      <w:pPr>
        <w:spacing w:after="0" w:line="240" w:lineRule="auto"/>
      </w:pPr>
      <w:r>
        <w:separator/>
      </w:r>
    </w:p>
  </w:footnote>
  <w:footnote w:type="continuationSeparator" w:id="0">
    <w:p w:rsidR="005840B3" w:rsidRDefault="0058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251F61">
    <w:pPr>
      <w:pStyle w:val="Nagwek"/>
    </w:pPr>
    <w:r>
      <w:rPr>
        <w:noProof/>
        <w:lang w:eastAsia="pl-PL"/>
      </w:rPr>
      <w:drawing>
        <wp:anchor distT="0" distB="0" distL="114300" distR="114300" simplePos="0" relativeHeight="251660288" behindDoc="0" locked="0" layoutInCell="1" allowOverlap="1" wp14:anchorId="02B4129A" wp14:editId="513A4249">
          <wp:simplePos x="0" y="0"/>
          <wp:positionH relativeFrom="column">
            <wp:posOffset>160655</wp:posOffset>
          </wp:positionH>
          <wp:positionV relativeFrom="paragraph">
            <wp:posOffset>-137160</wp:posOffset>
          </wp:positionV>
          <wp:extent cx="6115050" cy="466090"/>
          <wp:effectExtent l="0" t="0" r="0" b="0"/>
          <wp:wrapNone/>
          <wp:docPr id="3" name="Obraz 3" descr="Logotyp: PKP Polskich Linii Kolejowych S.A., flaga Rzeczpospolita Polska, logotyp: flaga Unii Europejskiej,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PKP Polskich Linii Kolejowych S.A., flaga Rzeczpospolita Polska, logotyp: flaga Unii Europejskiej,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59264" behindDoc="0" locked="0" layoutInCell="1" allowOverlap="1" wp14:anchorId="430DC808" wp14:editId="02BFBFC4">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wps:spPr>
                    <wps:txbx>
                      <w:txbxContent>
                        <w:p w:rsidR="009D1AEB" w:rsidRPr="004D6EC9" w:rsidRDefault="00251F61" w:rsidP="009D1AEB">
                          <w:pPr>
                            <w:spacing w:after="0"/>
                            <w:rPr>
                              <w:rFonts w:cs="Arial"/>
                              <w:b/>
                              <w:sz w:val="16"/>
                              <w:szCs w:val="16"/>
                            </w:rPr>
                          </w:pPr>
                          <w:r w:rsidRPr="004D6EC9">
                            <w:rPr>
                              <w:rFonts w:cs="Arial"/>
                              <w:b/>
                              <w:sz w:val="16"/>
                              <w:szCs w:val="16"/>
                            </w:rPr>
                            <w:t>PKP Polskie Linie Kolejowe S.A.</w:t>
                          </w:r>
                        </w:p>
                        <w:p w:rsidR="009D1AEB" w:rsidRDefault="00251F61" w:rsidP="009D1AEB">
                          <w:pPr>
                            <w:spacing w:after="0"/>
                            <w:rPr>
                              <w:rFonts w:cs="Arial"/>
                              <w:sz w:val="16"/>
                              <w:szCs w:val="16"/>
                            </w:rPr>
                          </w:pPr>
                          <w:r>
                            <w:rPr>
                              <w:rFonts w:cs="Arial"/>
                              <w:sz w:val="16"/>
                              <w:szCs w:val="16"/>
                            </w:rPr>
                            <w:t>Biuro Komunikacji i Promocji</w:t>
                          </w:r>
                        </w:p>
                        <w:p w:rsidR="009D1AEB" w:rsidRPr="004D6EC9" w:rsidRDefault="00251F61"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251F61"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251F61"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251F61"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251F61"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0DC808"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" filled="f" stroked="f">
              <v:textbox inset="0,0,0,0">
                <w:txbxContent>
                  <w:p w:rsidR="009D1AEB" w:rsidRPr="004D6EC9" w:rsidRDefault="00251F61" w:rsidP="009D1AEB">
                    <w:pPr>
                      <w:spacing w:after="0"/>
                      <w:rPr>
                        <w:rFonts w:cs="Arial"/>
                        <w:b/>
                        <w:sz w:val="16"/>
                        <w:szCs w:val="16"/>
                      </w:rPr>
                    </w:pPr>
                    <w:r w:rsidRPr="004D6EC9">
                      <w:rPr>
                        <w:rFonts w:cs="Arial"/>
                        <w:b/>
                        <w:sz w:val="16"/>
                        <w:szCs w:val="16"/>
                      </w:rPr>
                      <w:t>PKP Polskie Linie Kolejowe S.A.</w:t>
                    </w:r>
                  </w:p>
                  <w:p w:rsidR="009D1AEB" w:rsidRDefault="00251F61" w:rsidP="009D1AEB">
                    <w:pPr>
                      <w:spacing w:after="0"/>
                      <w:rPr>
                        <w:rFonts w:cs="Arial"/>
                        <w:sz w:val="16"/>
                        <w:szCs w:val="16"/>
                      </w:rPr>
                    </w:pPr>
                    <w:r>
                      <w:rPr>
                        <w:rFonts w:cs="Arial"/>
                        <w:sz w:val="16"/>
                        <w:szCs w:val="16"/>
                      </w:rPr>
                      <w:t>Biuro Komunikacji i Promocji</w:t>
                    </w:r>
                  </w:p>
                  <w:p w:rsidR="009D1AEB" w:rsidRPr="004D6EC9" w:rsidRDefault="00251F61"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251F61"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251F61"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251F61"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251F61"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D000A"/>
    <w:multiLevelType w:val="hybridMultilevel"/>
    <w:tmpl w:val="54A48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B2"/>
    <w:rsid w:val="0000595D"/>
    <w:rsid w:val="00017F01"/>
    <w:rsid w:val="00032709"/>
    <w:rsid w:val="00032DCB"/>
    <w:rsid w:val="00096424"/>
    <w:rsid w:val="000A6135"/>
    <w:rsid w:val="000B4894"/>
    <w:rsid w:val="000D0866"/>
    <w:rsid w:val="000D6CC6"/>
    <w:rsid w:val="000E2407"/>
    <w:rsid w:val="000E6E13"/>
    <w:rsid w:val="00116D43"/>
    <w:rsid w:val="00127232"/>
    <w:rsid w:val="00196AFB"/>
    <w:rsid w:val="001A1337"/>
    <w:rsid w:val="001A54DC"/>
    <w:rsid w:val="001A62C0"/>
    <w:rsid w:val="001B0ACB"/>
    <w:rsid w:val="001D63D4"/>
    <w:rsid w:val="0022778C"/>
    <w:rsid w:val="00233485"/>
    <w:rsid w:val="0023404A"/>
    <w:rsid w:val="00234C63"/>
    <w:rsid w:val="002407F8"/>
    <w:rsid w:val="002474C6"/>
    <w:rsid w:val="00251F61"/>
    <w:rsid w:val="00257809"/>
    <w:rsid w:val="00273DCE"/>
    <w:rsid w:val="00284172"/>
    <w:rsid w:val="00294C62"/>
    <w:rsid w:val="002B4FF4"/>
    <w:rsid w:val="002C1955"/>
    <w:rsid w:val="002C1AFC"/>
    <w:rsid w:val="002C4760"/>
    <w:rsid w:val="002C5299"/>
    <w:rsid w:val="002C790E"/>
    <w:rsid w:val="00302EC7"/>
    <w:rsid w:val="00314CEE"/>
    <w:rsid w:val="0032136E"/>
    <w:rsid w:val="003676E7"/>
    <w:rsid w:val="00370330"/>
    <w:rsid w:val="0037699F"/>
    <w:rsid w:val="00377C4E"/>
    <w:rsid w:val="003809A5"/>
    <w:rsid w:val="003D3EB5"/>
    <w:rsid w:val="003F55D0"/>
    <w:rsid w:val="003F6B07"/>
    <w:rsid w:val="004447A6"/>
    <w:rsid w:val="004977FC"/>
    <w:rsid w:val="004B0802"/>
    <w:rsid w:val="004C3A80"/>
    <w:rsid w:val="004E0501"/>
    <w:rsid w:val="00514D96"/>
    <w:rsid w:val="00526E64"/>
    <w:rsid w:val="00547614"/>
    <w:rsid w:val="00561086"/>
    <w:rsid w:val="00567A30"/>
    <w:rsid w:val="00572A36"/>
    <w:rsid w:val="005819D0"/>
    <w:rsid w:val="005840B3"/>
    <w:rsid w:val="005862DF"/>
    <w:rsid w:val="005A1D8A"/>
    <w:rsid w:val="005B6354"/>
    <w:rsid w:val="005D4E1E"/>
    <w:rsid w:val="005F3753"/>
    <w:rsid w:val="005F7200"/>
    <w:rsid w:val="006054EE"/>
    <w:rsid w:val="006319CD"/>
    <w:rsid w:val="0063535C"/>
    <w:rsid w:val="00645177"/>
    <w:rsid w:val="006753D8"/>
    <w:rsid w:val="00684692"/>
    <w:rsid w:val="006A206A"/>
    <w:rsid w:val="006A4073"/>
    <w:rsid w:val="006E0286"/>
    <w:rsid w:val="00704111"/>
    <w:rsid w:val="007120B6"/>
    <w:rsid w:val="00744F7A"/>
    <w:rsid w:val="0075472A"/>
    <w:rsid w:val="00762B82"/>
    <w:rsid w:val="00775FAB"/>
    <w:rsid w:val="00777777"/>
    <w:rsid w:val="007846C9"/>
    <w:rsid w:val="00794789"/>
    <w:rsid w:val="00795B82"/>
    <w:rsid w:val="007A2942"/>
    <w:rsid w:val="007B29ED"/>
    <w:rsid w:val="007B46FB"/>
    <w:rsid w:val="007B6A18"/>
    <w:rsid w:val="007E128B"/>
    <w:rsid w:val="007E17B2"/>
    <w:rsid w:val="007E4E27"/>
    <w:rsid w:val="007F0374"/>
    <w:rsid w:val="007F1A8C"/>
    <w:rsid w:val="00811770"/>
    <w:rsid w:val="0082328D"/>
    <w:rsid w:val="00825E56"/>
    <w:rsid w:val="0084545F"/>
    <w:rsid w:val="00876BB4"/>
    <w:rsid w:val="008922FA"/>
    <w:rsid w:val="00897955"/>
    <w:rsid w:val="008A5D17"/>
    <w:rsid w:val="008C61C9"/>
    <w:rsid w:val="008F411A"/>
    <w:rsid w:val="008F4FD9"/>
    <w:rsid w:val="0092281D"/>
    <w:rsid w:val="00955964"/>
    <w:rsid w:val="0095786B"/>
    <w:rsid w:val="00960D6D"/>
    <w:rsid w:val="00972C2B"/>
    <w:rsid w:val="0099595B"/>
    <w:rsid w:val="009A7A3D"/>
    <w:rsid w:val="009D0BC7"/>
    <w:rsid w:val="009D5065"/>
    <w:rsid w:val="009E03A5"/>
    <w:rsid w:val="009E2CB0"/>
    <w:rsid w:val="00A1337B"/>
    <w:rsid w:val="00A23FD3"/>
    <w:rsid w:val="00A3527E"/>
    <w:rsid w:val="00A54051"/>
    <w:rsid w:val="00A55A08"/>
    <w:rsid w:val="00A57D9F"/>
    <w:rsid w:val="00A67E57"/>
    <w:rsid w:val="00A7640D"/>
    <w:rsid w:val="00A848DE"/>
    <w:rsid w:val="00A952B7"/>
    <w:rsid w:val="00AE0349"/>
    <w:rsid w:val="00AE1C75"/>
    <w:rsid w:val="00AE245D"/>
    <w:rsid w:val="00AF2942"/>
    <w:rsid w:val="00B12C47"/>
    <w:rsid w:val="00B22A3F"/>
    <w:rsid w:val="00B2561C"/>
    <w:rsid w:val="00B2726D"/>
    <w:rsid w:val="00B85B78"/>
    <w:rsid w:val="00BB4DE5"/>
    <w:rsid w:val="00BD1180"/>
    <w:rsid w:val="00BF5583"/>
    <w:rsid w:val="00C23CB5"/>
    <w:rsid w:val="00C25699"/>
    <w:rsid w:val="00C54962"/>
    <w:rsid w:val="00C60CC7"/>
    <w:rsid w:val="00C85373"/>
    <w:rsid w:val="00CA58C2"/>
    <w:rsid w:val="00CB02DB"/>
    <w:rsid w:val="00CD499D"/>
    <w:rsid w:val="00CF01BC"/>
    <w:rsid w:val="00CF4D0F"/>
    <w:rsid w:val="00D0484B"/>
    <w:rsid w:val="00D1560C"/>
    <w:rsid w:val="00D31380"/>
    <w:rsid w:val="00D417ED"/>
    <w:rsid w:val="00D51D00"/>
    <w:rsid w:val="00D95409"/>
    <w:rsid w:val="00D96D5E"/>
    <w:rsid w:val="00DA51BC"/>
    <w:rsid w:val="00DB3086"/>
    <w:rsid w:val="00DC6401"/>
    <w:rsid w:val="00DC77C3"/>
    <w:rsid w:val="00DD4FC5"/>
    <w:rsid w:val="00DD5C57"/>
    <w:rsid w:val="00E30991"/>
    <w:rsid w:val="00E373E2"/>
    <w:rsid w:val="00E64F0D"/>
    <w:rsid w:val="00E73967"/>
    <w:rsid w:val="00E81904"/>
    <w:rsid w:val="00E83BBC"/>
    <w:rsid w:val="00EC6BF4"/>
    <w:rsid w:val="00F11B17"/>
    <w:rsid w:val="00F25085"/>
    <w:rsid w:val="00F42F47"/>
    <w:rsid w:val="00F50681"/>
    <w:rsid w:val="00F51A89"/>
    <w:rsid w:val="00F5590F"/>
    <w:rsid w:val="00F64FCC"/>
    <w:rsid w:val="00F71441"/>
    <w:rsid w:val="00F810B9"/>
    <w:rsid w:val="00FA221F"/>
    <w:rsid w:val="00FA38CC"/>
    <w:rsid w:val="00FA3A5A"/>
    <w:rsid w:val="00FA4896"/>
    <w:rsid w:val="00FD2436"/>
    <w:rsid w:val="00FE48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58F11-96C4-4428-8CEB-8B8FB89F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17B2"/>
    <w:rPr>
      <w:rFonts w:ascii="Arial" w:hAnsi="Arial"/>
    </w:rPr>
  </w:style>
  <w:style w:type="paragraph" w:styleId="Nagwek1">
    <w:name w:val="heading 1"/>
    <w:basedOn w:val="Normalny"/>
    <w:next w:val="Normalny"/>
    <w:link w:val="Nagwek1Znak"/>
    <w:uiPriority w:val="9"/>
    <w:qFormat/>
    <w:rsid w:val="007E17B2"/>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F11B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17B2"/>
    <w:rPr>
      <w:rFonts w:ascii="Arial" w:eastAsiaTheme="majorEastAsia" w:hAnsi="Arial" w:cstheme="majorBidi"/>
      <w:b/>
      <w:sz w:val="24"/>
      <w:szCs w:val="32"/>
    </w:rPr>
  </w:style>
  <w:style w:type="paragraph" w:styleId="Nagwek">
    <w:name w:val="header"/>
    <w:basedOn w:val="Normalny"/>
    <w:link w:val="NagwekZnak"/>
    <w:uiPriority w:val="99"/>
    <w:unhideWhenUsed/>
    <w:rsid w:val="007E17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17B2"/>
    <w:rPr>
      <w:rFonts w:ascii="Arial" w:hAnsi="Arial"/>
    </w:rPr>
  </w:style>
  <w:style w:type="character" w:styleId="Hipercze">
    <w:name w:val="Hyperlink"/>
    <w:uiPriority w:val="99"/>
    <w:unhideWhenUsed/>
    <w:rsid w:val="007E17B2"/>
    <w:rPr>
      <w:color w:val="0000FF"/>
      <w:u w:val="single"/>
    </w:rPr>
  </w:style>
  <w:style w:type="character" w:styleId="Pogrubienie">
    <w:name w:val="Strong"/>
    <w:basedOn w:val="Domylnaczcionkaakapitu"/>
    <w:uiPriority w:val="22"/>
    <w:qFormat/>
    <w:rsid w:val="007E17B2"/>
    <w:rPr>
      <w:b/>
      <w:bCs/>
    </w:rPr>
  </w:style>
  <w:style w:type="character" w:customStyle="1" w:styleId="Nagwek2Znak">
    <w:name w:val="Nagłówek 2 Znak"/>
    <w:basedOn w:val="Domylnaczcionkaakapitu"/>
    <w:link w:val="Nagwek2"/>
    <w:uiPriority w:val="9"/>
    <w:rsid w:val="00F11B17"/>
    <w:rPr>
      <w:rFonts w:asciiTheme="majorHAnsi" w:eastAsiaTheme="majorEastAsia" w:hAnsiTheme="majorHAnsi" w:cstheme="majorBidi"/>
      <w:color w:val="2E74B5" w:themeColor="accent1" w:themeShade="BF"/>
      <w:sz w:val="26"/>
      <w:szCs w:val="26"/>
    </w:rPr>
  </w:style>
  <w:style w:type="paragraph" w:styleId="Stopka">
    <w:name w:val="footer"/>
    <w:basedOn w:val="Normalny"/>
    <w:link w:val="StopkaZnak"/>
    <w:uiPriority w:val="99"/>
    <w:unhideWhenUsed/>
    <w:rsid w:val="00FE48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4865"/>
    <w:rPr>
      <w:rFonts w:ascii="Arial" w:hAnsi="Arial"/>
    </w:rPr>
  </w:style>
  <w:style w:type="paragraph" w:styleId="Akapitzlist">
    <w:name w:val="List Paragraph"/>
    <w:basedOn w:val="Normalny"/>
    <w:uiPriority w:val="34"/>
    <w:qFormat/>
    <w:rsid w:val="00DB3086"/>
    <w:pPr>
      <w:ind w:left="720"/>
      <w:contextualSpacing/>
    </w:pPr>
  </w:style>
  <w:style w:type="character" w:styleId="Odwoaniedokomentarza">
    <w:name w:val="annotation reference"/>
    <w:basedOn w:val="Domylnaczcionkaakapitu"/>
    <w:uiPriority w:val="99"/>
    <w:semiHidden/>
    <w:unhideWhenUsed/>
    <w:rsid w:val="00A54051"/>
    <w:rPr>
      <w:sz w:val="16"/>
      <w:szCs w:val="16"/>
    </w:rPr>
  </w:style>
  <w:style w:type="paragraph" w:styleId="Tekstkomentarza">
    <w:name w:val="annotation text"/>
    <w:basedOn w:val="Normalny"/>
    <w:link w:val="TekstkomentarzaZnak"/>
    <w:uiPriority w:val="99"/>
    <w:semiHidden/>
    <w:unhideWhenUsed/>
    <w:rsid w:val="00A540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54051"/>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A54051"/>
    <w:rPr>
      <w:b/>
      <w:bCs/>
    </w:rPr>
  </w:style>
  <w:style w:type="character" w:customStyle="1" w:styleId="TematkomentarzaZnak">
    <w:name w:val="Temat komentarza Znak"/>
    <w:basedOn w:val="TekstkomentarzaZnak"/>
    <w:link w:val="Tematkomentarza"/>
    <w:uiPriority w:val="99"/>
    <w:semiHidden/>
    <w:rsid w:val="00A54051"/>
    <w:rPr>
      <w:rFonts w:ascii="Arial" w:hAnsi="Arial"/>
      <w:b/>
      <w:bCs/>
      <w:sz w:val="20"/>
      <w:szCs w:val="20"/>
    </w:rPr>
  </w:style>
  <w:style w:type="paragraph" w:styleId="Tekstdymka">
    <w:name w:val="Balloon Text"/>
    <w:basedOn w:val="Normalny"/>
    <w:link w:val="TekstdymkaZnak"/>
    <w:uiPriority w:val="99"/>
    <w:semiHidden/>
    <w:unhideWhenUsed/>
    <w:rsid w:val="00A540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4051"/>
    <w:rPr>
      <w:rFonts w:ascii="Segoe UI" w:hAnsi="Segoe UI" w:cs="Segoe UI"/>
      <w:sz w:val="18"/>
      <w:szCs w:val="18"/>
    </w:rPr>
  </w:style>
  <w:style w:type="character" w:styleId="Uwydatnienie">
    <w:name w:val="Emphasis"/>
    <w:basedOn w:val="Domylnaczcionkaakapitu"/>
    <w:uiPriority w:val="20"/>
    <w:qFormat/>
    <w:rsid w:val="00E309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197172">
      <w:bodyDiv w:val="1"/>
      <w:marLeft w:val="0"/>
      <w:marRight w:val="0"/>
      <w:marTop w:val="0"/>
      <w:marBottom w:val="0"/>
      <w:divBdr>
        <w:top w:val="none" w:sz="0" w:space="0" w:color="auto"/>
        <w:left w:val="none" w:sz="0" w:space="0" w:color="auto"/>
        <w:bottom w:val="none" w:sz="0" w:space="0" w:color="auto"/>
        <w:right w:val="none" w:sz="0" w:space="0" w:color="auto"/>
      </w:divBdr>
    </w:div>
    <w:div w:id="47626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0174-94DA-45B4-855D-41EE4986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708</Words>
  <Characters>4249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Zwiększają się możliwości linii kolejowych do portów w Szczecinie i Świnoujściu</vt:lpstr>
    </vt:vector>
  </TitlesOfParts>
  <Company>PKP PLK S.A.</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Zwiększają się możliwości linii kolejowych do portów w Szczecinie i Świnoujściu</dc:title>
  <dc:subject/>
  <dc:creator>PLK</dc:creator>
  <cp:keywords/>
  <dc:description/>
  <cp:lastModifiedBy>Ostaszewska Anna</cp:lastModifiedBy>
  <cp:revision>4</cp:revision>
  <dcterms:created xsi:type="dcterms:W3CDTF">2022-07-26T11:51:00Z</dcterms:created>
  <dcterms:modified xsi:type="dcterms:W3CDTF">2022-08-02T11:02:00Z</dcterms:modified>
</cp:coreProperties>
</file>