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A50" w:rsidRPr="00045ABE" w:rsidRDefault="00375ECF" w:rsidP="00BC0A50">
      <w:pPr>
        <w:spacing w:before="1440" w:after="120" w:line="360" w:lineRule="auto"/>
        <w:jc w:val="right"/>
        <w:rPr>
          <w:rFonts w:cs="Arial"/>
        </w:rPr>
      </w:pPr>
      <w:bookmarkStart w:id="0" w:name="_GoBack"/>
      <w:bookmarkEnd w:id="0"/>
      <w:r>
        <w:rPr>
          <w:rFonts w:cs="Arial"/>
        </w:rPr>
        <w:t>Katowice</w:t>
      </w:r>
      <w:r w:rsidR="009D1AEB">
        <w:rPr>
          <w:rFonts w:cs="Arial"/>
        </w:rPr>
        <w:t>,</w:t>
      </w:r>
      <w:r w:rsidR="00CC6FC9">
        <w:rPr>
          <w:rFonts w:cs="Arial"/>
        </w:rPr>
        <w:t xml:space="preserve"> </w:t>
      </w:r>
      <w:r w:rsidR="000B60A3">
        <w:rPr>
          <w:rFonts w:cs="Arial"/>
        </w:rPr>
        <w:t>9 stycznia</w:t>
      </w:r>
      <w:r w:rsidR="00E034FE">
        <w:rPr>
          <w:rFonts w:cs="Arial"/>
        </w:rPr>
        <w:t xml:space="preserve"> </w:t>
      </w:r>
      <w:r w:rsidR="002F7267">
        <w:rPr>
          <w:rFonts w:cs="Arial"/>
        </w:rPr>
        <w:t>2023</w:t>
      </w:r>
      <w:r w:rsidR="009D1AEB" w:rsidRPr="003D74BF">
        <w:rPr>
          <w:rFonts w:cs="Arial"/>
        </w:rPr>
        <w:t xml:space="preserve"> r.</w:t>
      </w:r>
    </w:p>
    <w:p w:rsidR="00A846BC" w:rsidRDefault="000646DF" w:rsidP="00466521">
      <w:pPr>
        <w:pStyle w:val="Nagwek1"/>
        <w:spacing w:before="0" w:after="160" w:line="360" w:lineRule="auto"/>
        <w:rPr>
          <w:noProof/>
          <w:sz w:val="22"/>
          <w:szCs w:val="22"/>
        </w:rPr>
      </w:pPr>
      <w:r>
        <w:rPr>
          <w:noProof/>
          <w:sz w:val="22"/>
          <w:szCs w:val="22"/>
        </w:rPr>
        <w:t>Kolej Plus</w:t>
      </w:r>
      <w:r w:rsidR="00A846BC">
        <w:rPr>
          <w:noProof/>
          <w:sz w:val="22"/>
          <w:szCs w:val="22"/>
        </w:rPr>
        <w:t xml:space="preserve"> – nowe </w:t>
      </w:r>
      <w:r w:rsidR="005B0A0D">
        <w:rPr>
          <w:noProof/>
          <w:sz w:val="22"/>
          <w:szCs w:val="22"/>
        </w:rPr>
        <w:t>połącze</w:t>
      </w:r>
      <w:r w:rsidR="00A846BC">
        <w:rPr>
          <w:noProof/>
          <w:sz w:val="22"/>
          <w:szCs w:val="22"/>
        </w:rPr>
        <w:t>nia</w:t>
      </w:r>
      <w:r w:rsidR="005B0A0D">
        <w:rPr>
          <w:noProof/>
          <w:sz w:val="22"/>
          <w:szCs w:val="22"/>
        </w:rPr>
        <w:t xml:space="preserve"> </w:t>
      </w:r>
      <w:r w:rsidR="00A846BC">
        <w:rPr>
          <w:noProof/>
          <w:sz w:val="22"/>
          <w:szCs w:val="22"/>
        </w:rPr>
        <w:t xml:space="preserve">i lepsze podróże </w:t>
      </w:r>
      <w:r w:rsidR="005B0A0D">
        <w:rPr>
          <w:noProof/>
          <w:sz w:val="22"/>
          <w:szCs w:val="22"/>
        </w:rPr>
        <w:t>w w</w:t>
      </w:r>
      <w:r>
        <w:rPr>
          <w:noProof/>
          <w:sz w:val="22"/>
          <w:szCs w:val="22"/>
        </w:rPr>
        <w:t>ojewództwie śląskim</w:t>
      </w:r>
      <w:r w:rsidR="005B0A0D">
        <w:rPr>
          <w:noProof/>
          <w:sz w:val="22"/>
          <w:szCs w:val="22"/>
        </w:rPr>
        <w:t xml:space="preserve"> </w:t>
      </w:r>
    </w:p>
    <w:p w:rsidR="00045ABE" w:rsidRPr="005C211C" w:rsidRDefault="003C30A7" w:rsidP="00466521">
      <w:pPr>
        <w:spacing w:line="360" w:lineRule="auto"/>
        <w:rPr>
          <w:b/>
        </w:rPr>
      </w:pPr>
      <w:r w:rsidRPr="005C211C">
        <w:t xml:space="preserve">Zwiększy się dostęp do pociągów dla mieszkańców Katowic i Bytomia. </w:t>
      </w:r>
      <w:r w:rsidR="00C33D09" w:rsidRPr="005C211C">
        <w:rPr>
          <w:bCs/>
        </w:rPr>
        <w:t xml:space="preserve">PKP Polskie Linie </w:t>
      </w:r>
      <w:r w:rsidR="008B6FCB" w:rsidRPr="005C211C">
        <w:rPr>
          <w:bCs/>
        </w:rPr>
        <w:t xml:space="preserve">Kolejowe S.A. </w:t>
      </w:r>
      <w:r w:rsidR="008B6702" w:rsidRPr="005C211C">
        <w:rPr>
          <w:bCs/>
        </w:rPr>
        <w:t xml:space="preserve">ogłosiły </w:t>
      </w:r>
      <w:r w:rsidR="009A17E4" w:rsidRPr="005C211C">
        <w:rPr>
          <w:bCs/>
        </w:rPr>
        <w:t xml:space="preserve">dwa </w:t>
      </w:r>
      <w:r w:rsidR="008B6702" w:rsidRPr="005C211C">
        <w:rPr>
          <w:bCs/>
        </w:rPr>
        <w:t>przetarg</w:t>
      </w:r>
      <w:r w:rsidR="000B60A3" w:rsidRPr="005C211C">
        <w:rPr>
          <w:bCs/>
        </w:rPr>
        <w:t>i</w:t>
      </w:r>
      <w:r w:rsidR="008B6702" w:rsidRPr="005C211C">
        <w:rPr>
          <w:bCs/>
        </w:rPr>
        <w:t xml:space="preserve"> na zaprojektowanie</w:t>
      </w:r>
      <w:r w:rsidR="008B6702" w:rsidRPr="005C211C">
        <w:t xml:space="preserve"> </w:t>
      </w:r>
      <w:r w:rsidRPr="005C211C">
        <w:rPr>
          <w:bCs/>
        </w:rPr>
        <w:t>zadań</w:t>
      </w:r>
      <w:r w:rsidR="000646DF" w:rsidRPr="005C211C">
        <w:rPr>
          <w:bCs/>
        </w:rPr>
        <w:t>,</w:t>
      </w:r>
      <w:r w:rsidRPr="005C211C">
        <w:rPr>
          <w:bCs/>
        </w:rPr>
        <w:t xml:space="preserve"> realizowanych dzięki </w:t>
      </w:r>
      <w:r w:rsidRPr="005C211C">
        <w:t>Rządowemu Programowi Uzupełniania Lokalnej i Regionalnej Infrastruktury Kolejowej Kolej Plus do 2029 r.</w:t>
      </w:r>
      <w:r w:rsidR="005B0A0D" w:rsidRPr="005C211C">
        <w:t xml:space="preserve"> Realizacja inwestycji zwiększy atrakcyjność kolei w województwie </w:t>
      </w:r>
      <w:r w:rsidR="000646DF" w:rsidRPr="005C211C">
        <w:t>śląskim</w:t>
      </w:r>
      <w:r w:rsidR="005B0A0D" w:rsidRPr="005C211C">
        <w:t xml:space="preserve">. </w:t>
      </w:r>
    </w:p>
    <w:p w:rsidR="000B60A3" w:rsidRDefault="005B0A0D" w:rsidP="00466521">
      <w:pPr>
        <w:spacing w:line="360" w:lineRule="auto"/>
        <w:rPr>
          <w:rFonts w:cs="Arial"/>
        </w:rPr>
      </w:pPr>
      <w:r>
        <w:rPr>
          <w:rFonts w:cs="Arial"/>
        </w:rPr>
        <w:t>Przetargi są</w:t>
      </w:r>
      <w:r w:rsidR="00375ECF">
        <w:rPr>
          <w:rFonts w:cs="Arial"/>
        </w:rPr>
        <w:t xml:space="preserve"> ważnym krokiem do </w:t>
      </w:r>
      <w:r w:rsidR="003C30A7">
        <w:rPr>
          <w:rFonts w:cs="Arial"/>
        </w:rPr>
        <w:t xml:space="preserve">realizacji </w:t>
      </w:r>
      <w:r w:rsidR="009A17E4">
        <w:rPr>
          <w:rFonts w:cs="Arial"/>
        </w:rPr>
        <w:t>zadań z</w:t>
      </w:r>
      <w:r w:rsidR="005B5311">
        <w:rPr>
          <w:rFonts w:cs="Arial"/>
        </w:rPr>
        <w:t xml:space="preserve"> </w:t>
      </w:r>
      <w:r w:rsidR="009A17E4">
        <w:rPr>
          <w:rFonts w:cs="Arial"/>
        </w:rPr>
        <w:t>Rządowego Programu</w:t>
      </w:r>
      <w:r w:rsidR="005B5311" w:rsidRPr="005B5311">
        <w:rPr>
          <w:rFonts w:cs="Arial"/>
        </w:rPr>
        <w:t xml:space="preserve"> Uzupełniania Lokalnej i Regionalnej Infrastruktury Kolejowej Kolej Plus do 2029 r.</w:t>
      </w:r>
    </w:p>
    <w:p w:rsidR="000B60A3" w:rsidRDefault="000B60A3" w:rsidP="00466521">
      <w:pPr>
        <w:spacing w:line="360" w:lineRule="auto"/>
        <w:rPr>
          <w:rFonts w:cs="Arial"/>
        </w:rPr>
      </w:pPr>
      <w:r w:rsidRPr="000B60A3">
        <w:rPr>
          <w:rFonts w:cs="Arial"/>
        </w:rPr>
        <w:t xml:space="preserve">Dzięki przywróceniu ruchu pasażerskiego między </w:t>
      </w:r>
      <w:r w:rsidRPr="003C30A7">
        <w:rPr>
          <w:rFonts w:cs="Arial"/>
          <w:b/>
        </w:rPr>
        <w:t>Katowicami Ligotą a Tychami</w:t>
      </w:r>
      <w:r w:rsidRPr="000B60A3">
        <w:rPr>
          <w:rFonts w:cs="Arial"/>
        </w:rPr>
        <w:t xml:space="preserve"> mieszkańcy południowych dzielnic Katowic: Ochojca, Murcek, Kostuchny i Podlesia zyskają lepszy dostęp do pociągów. Szacowany czas przejazdu Tychy – Katowice to 29 min. </w:t>
      </w:r>
      <w:r w:rsidR="00D81C27">
        <w:rPr>
          <w:rFonts w:cs="Arial"/>
        </w:rPr>
        <w:t>M</w:t>
      </w:r>
      <w:r w:rsidRPr="000B60A3">
        <w:rPr>
          <w:rFonts w:cs="Arial"/>
        </w:rPr>
        <w:t>ijanka</w:t>
      </w:r>
      <w:r w:rsidR="000646DF">
        <w:rPr>
          <w:rFonts w:cs="Arial"/>
        </w:rPr>
        <w:t>, którą</w:t>
      </w:r>
      <w:r w:rsidR="00D81C27">
        <w:rPr>
          <w:rFonts w:cs="Arial"/>
        </w:rPr>
        <w:t xml:space="preserve"> przewidziano </w:t>
      </w:r>
      <w:r w:rsidR="008B1B9D">
        <w:rPr>
          <w:rFonts w:cs="Arial"/>
        </w:rPr>
        <w:t xml:space="preserve">w </w:t>
      </w:r>
      <w:r w:rsidRPr="000B60A3">
        <w:rPr>
          <w:rFonts w:cs="Arial"/>
        </w:rPr>
        <w:t xml:space="preserve">Murckach usprawni przewozy. Zwiększy się bezpieczeństwo dzięki budowie trzech bezkolizyjnych skrzyżowań torów z drogami w miejscu przejazdów w poziomie szyn. </w:t>
      </w:r>
      <w:r w:rsidR="00D81C27" w:rsidRPr="000B60A3">
        <w:rPr>
          <w:rFonts w:cs="Arial"/>
        </w:rPr>
        <w:t xml:space="preserve">Obecnie trasa </w:t>
      </w:r>
      <w:r w:rsidR="00D81C27" w:rsidRPr="00B875AE">
        <w:rPr>
          <w:rFonts w:cs="Arial"/>
        </w:rPr>
        <w:t>Katowice Ligota - Tychy</w:t>
      </w:r>
      <w:r w:rsidR="00D81C27" w:rsidRPr="000B60A3">
        <w:rPr>
          <w:rFonts w:cs="Arial"/>
        </w:rPr>
        <w:t xml:space="preserve"> jest wykorzystywana głównie w ruchu towarowym. </w:t>
      </w:r>
      <w:r w:rsidR="00B875AE">
        <w:rPr>
          <w:rFonts w:cs="Arial"/>
        </w:rPr>
        <w:t>D</w:t>
      </w:r>
      <w:r w:rsidR="009A17E4">
        <w:rPr>
          <w:rFonts w:cs="Arial"/>
        </w:rPr>
        <w:t xml:space="preserve">la zadania </w:t>
      </w:r>
      <w:r w:rsidR="009A17E4" w:rsidRPr="009A17E4">
        <w:rPr>
          <w:rFonts w:cs="Arial"/>
        </w:rPr>
        <w:t>„Przygotowanie alternatywnego połączenia aglomeracyjnego Tychy - Katowice Murcki - Katowice Ligota linią kolejową nr 142”</w:t>
      </w:r>
      <w:r w:rsidR="009A17E4">
        <w:rPr>
          <w:rFonts w:cs="Arial"/>
        </w:rPr>
        <w:t xml:space="preserve"> </w:t>
      </w:r>
      <w:r w:rsidR="000646DF">
        <w:rPr>
          <w:rFonts w:cs="Arial"/>
        </w:rPr>
        <w:t xml:space="preserve">przewidziano </w:t>
      </w:r>
      <w:r w:rsidR="00B875AE">
        <w:rPr>
          <w:rFonts w:cs="Arial"/>
        </w:rPr>
        <w:t>prace projektowe</w:t>
      </w:r>
      <w:r w:rsidR="00375ECF" w:rsidRPr="00375ECF">
        <w:rPr>
          <w:rFonts w:cs="Arial"/>
        </w:rPr>
        <w:t xml:space="preserve"> </w:t>
      </w:r>
      <w:r w:rsidR="00375ECF">
        <w:rPr>
          <w:rFonts w:cs="Arial"/>
        </w:rPr>
        <w:t>w</w:t>
      </w:r>
      <w:r w:rsidR="000646DF">
        <w:rPr>
          <w:rFonts w:cs="Arial"/>
        </w:rPr>
        <w:t xml:space="preserve"> latach 2023 – 2026</w:t>
      </w:r>
      <w:r w:rsidR="00B875AE">
        <w:rPr>
          <w:rFonts w:cs="Arial"/>
        </w:rPr>
        <w:t xml:space="preserve">, a w </w:t>
      </w:r>
      <w:r w:rsidR="009A17E4">
        <w:rPr>
          <w:rFonts w:cs="Arial"/>
        </w:rPr>
        <w:t>lata</w:t>
      </w:r>
      <w:r w:rsidR="00B875AE">
        <w:rPr>
          <w:rFonts w:cs="Arial"/>
        </w:rPr>
        <w:t>ch</w:t>
      </w:r>
      <w:r w:rsidR="005B5311">
        <w:rPr>
          <w:rFonts w:cs="Arial"/>
        </w:rPr>
        <w:t xml:space="preserve"> 2026 – 2028</w:t>
      </w:r>
      <w:r w:rsidR="00B875AE">
        <w:rPr>
          <w:rFonts w:cs="Arial"/>
        </w:rPr>
        <w:t xml:space="preserve"> budowę</w:t>
      </w:r>
      <w:r w:rsidR="005B5311" w:rsidRPr="005B5311">
        <w:rPr>
          <w:rFonts w:cs="Arial"/>
        </w:rPr>
        <w:t xml:space="preserve">. Szacowana wartość całego zadania (prace projektowe i </w:t>
      </w:r>
      <w:r w:rsidR="009A17E4">
        <w:rPr>
          <w:rFonts w:cs="Arial"/>
        </w:rPr>
        <w:t>budowlane) to</w:t>
      </w:r>
      <w:r w:rsidR="008B1B9D">
        <w:rPr>
          <w:rFonts w:cs="Arial"/>
        </w:rPr>
        <w:t xml:space="preserve"> ponad </w:t>
      </w:r>
      <w:r w:rsidRPr="000B60A3">
        <w:rPr>
          <w:rFonts w:cs="Arial"/>
        </w:rPr>
        <w:t xml:space="preserve">140 mln zł. </w:t>
      </w:r>
    </w:p>
    <w:p w:rsidR="008B1B9D" w:rsidRDefault="005B5311" w:rsidP="00466521">
      <w:pPr>
        <w:spacing w:line="360" w:lineRule="auto"/>
        <w:rPr>
          <w:rFonts w:cs="Arial"/>
        </w:rPr>
      </w:pPr>
      <w:r w:rsidRPr="00375ECF">
        <w:rPr>
          <w:rFonts w:cs="Arial"/>
        </w:rPr>
        <w:t xml:space="preserve">Budowa łącznicy kolejowej usprawni połączenie </w:t>
      </w:r>
      <w:r w:rsidRPr="008B1B9D">
        <w:rPr>
          <w:rFonts w:cs="Arial"/>
          <w:b/>
        </w:rPr>
        <w:t>Bytomia z Zabrzem i Rudą Chebzie oraz Katowicami</w:t>
      </w:r>
      <w:r w:rsidRPr="00375ECF">
        <w:rPr>
          <w:rFonts w:cs="Arial"/>
        </w:rPr>
        <w:t>.</w:t>
      </w:r>
      <w:r w:rsidRPr="005B5311">
        <w:rPr>
          <w:rFonts w:cs="Arial"/>
        </w:rPr>
        <w:t xml:space="preserve"> Podróż pociągiem z Bytomia do Rudy Chebzie zajmie 10 min. </w:t>
      </w:r>
      <w:r w:rsidR="00375ECF">
        <w:rPr>
          <w:rFonts w:cs="Arial"/>
        </w:rPr>
        <w:t>B</w:t>
      </w:r>
      <w:r w:rsidRPr="005B5311">
        <w:rPr>
          <w:rFonts w:cs="Arial"/>
        </w:rPr>
        <w:t xml:space="preserve">ędzie </w:t>
      </w:r>
      <w:r w:rsidR="00375ECF">
        <w:rPr>
          <w:rFonts w:cs="Arial"/>
        </w:rPr>
        <w:t>t</w:t>
      </w:r>
      <w:r w:rsidR="00375ECF" w:rsidRPr="005B5311">
        <w:rPr>
          <w:rFonts w:cs="Arial"/>
        </w:rPr>
        <w:t xml:space="preserve">o </w:t>
      </w:r>
      <w:r w:rsidRPr="005B5311">
        <w:rPr>
          <w:rFonts w:cs="Arial"/>
        </w:rPr>
        <w:t>nowe, atrakcyjne, bezpośrednie połączenie</w:t>
      </w:r>
      <w:r w:rsidR="00375ECF" w:rsidRPr="00375ECF">
        <w:rPr>
          <w:rFonts w:cs="Arial"/>
        </w:rPr>
        <w:t xml:space="preserve"> </w:t>
      </w:r>
      <w:r w:rsidR="00375ECF">
        <w:rPr>
          <w:rFonts w:cs="Arial"/>
        </w:rPr>
        <w:t>kolejowe</w:t>
      </w:r>
      <w:r w:rsidRPr="005B5311">
        <w:rPr>
          <w:rFonts w:cs="Arial"/>
        </w:rPr>
        <w:t xml:space="preserve">. Zwiększy się dostęp do kolei dzięki budowie nowych przystanków Ruda Orzegów oraz Bytom ul. Zabrzańska. Projekt obejmuje budowę 5 km oraz modernizację 4 km </w:t>
      </w:r>
      <w:r w:rsidR="00375ECF" w:rsidRPr="005B5311">
        <w:rPr>
          <w:rFonts w:cs="Arial"/>
        </w:rPr>
        <w:t xml:space="preserve">linii </w:t>
      </w:r>
      <w:r w:rsidRPr="005B5311">
        <w:rPr>
          <w:rFonts w:cs="Arial"/>
        </w:rPr>
        <w:t xml:space="preserve">między Zabrzem Biskupicami a Rudą Chebzie (nr 189). </w:t>
      </w:r>
      <w:r>
        <w:rPr>
          <w:rFonts w:cs="Arial"/>
        </w:rPr>
        <w:t xml:space="preserve">Prace projektowe </w:t>
      </w:r>
      <w:r w:rsidR="009A17E4">
        <w:rPr>
          <w:rFonts w:cs="Arial"/>
        </w:rPr>
        <w:t xml:space="preserve">dla zadania </w:t>
      </w:r>
      <w:r w:rsidR="009A17E4" w:rsidRPr="009A17E4">
        <w:rPr>
          <w:rFonts w:cs="Arial"/>
        </w:rPr>
        <w:t>„Prace na liniach kolejowych nr 189 i 132 oraz budowa nowych łącznic Kuźnica – Bytom Bobrek Wsch. w celu stworzenia nowego połączenia Ruda Chebzie/Zabrze – Bytom, w tym budowa nowych p.o. Ruda Orzegów i Bytom ul. Zabrzańska”</w:t>
      </w:r>
      <w:r w:rsidR="009A17E4">
        <w:rPr>
          <w:rFonts w:cs="Arial"/>
        </w:rPr>
        <w:t xml:space="preserve"> </w:t>
      </w:r>
      <w:r>
        <w:rPr>
          <w:rFonts w:cs="Arial"/>
        </w:rPr>
        <w:t>będą realizowane</w:t>
      </w:r>
      <w:r w:rsidRPr="005B5311">
        <w:rPr>
          <w:rFonts w:cs="Arial"/>
        </w:rPr>
        <w:t xml:space="preserve"> w latach 2023 – 2025. Roboty budowlane mogłyby być </w:t>
      </w:r>
      <w:r>
        <w:rPr>
          <w:rFonts w:cs="Arial"/>
        </w:rPr>
        <w:t xml:space="preserve">prowadzone </w:t>
      </w:r>
      <w:r w:rsidRPr="005B5311">
        <w:rPr>
          <w:rFonts w:cs="Arial"/>
        </w:rPr>
        <w:t>w latach 2026 – 2028. Szacowana wartość całego zadania (prac</w:t>
      </w:r>
      <w:r>
        <w:rPr>
          <w:rFonts w:cs="Arial"/>
        </w:rPr>
        <w:t xml:space="preserve">e projektowe i budowlane) to </w:t>
      </w:r>
      <w:r w:rsidRPr="005B5311">
        <w:rPr>
          <w:rFonts w:cs="Arial"/>
        </w:rPr>
        <w:t>pon</w:t>
      </w:r>
      <w:r>
        <w:rPr>
          <w:rFonts w:cs="Arial"/>
        </w:rPr>
        <w:t>ad 270</w:t>
      </w:r>
      <w:r w:rsidRPr="005B5311">
        <w:rPr>
          <w:rFonts w:cs="Arial"/>
        </w:rPr>
        <w:t xml:space="preserve"> mln zł. </w:t>
      </w:r>
    </w:p>
    <w:p w:rsidR="009228F4" w:rsidRPr="008B1B9D" w:rsidRDefault="00F60709" w:rsidP="00466521">
      <w:pPr>
        <w:pStyle w:val="Nagwek2"/>
        <w:spacing w:before="0" w:after="160" w:line="360" w:lineRule="auto"/>
        <w:rPr>
          <w:rFonts w:cs="Arial"/>
        </w:rPr>
      </w:pPr>
      <w:r w:rsidRPr="008B1B9D">
        <w:t>Siedem projektów z województwa śląskiego w programie Kolej Plus</w:t>
      </w:r>
    </w:p>
    <w:p w:rsidR="009228F4" w:rsidRPr="00BC0A50" w:rsidRDefault="00CE76EE" w:rsidP="00BC0A50">
      <w:pPr>
        <w:spacing w:before="100" w:beforeAutospacing="1" w:after="100" w:afterAutospacing="1" w:line="360" w:lineRule="auto"/>
        <w:contextualSpacing/>
        <w:rPr>
          <w:rFonts w:cs="Arial"/>
        </w:rPr>
      </w:pPr>
      <w:r>
        <w:rPr>
          <w:rFonts w:cs="Arial"/>
        </w:rPr>
        <w:t>Na liście podstawowej</w:t>
      </w:r>
      <w:r w:rsidR="00B562AB">
        <w:rPr>
          <w:rFonts w:cs="Arial"/>
        </w:rPr>
        <w:t xml:space="preserve"> Programu Kolej Plus </w:t>
      </w:r>
      <w:r w:rsidR="006B2745">
        <w:rPr>
          <w:rFonts w:cs="Arial"/>
        </w:rPr>
        <w:t xml:space="preserve">w województwie śląskim </w:t>
      </w:r>
      <w:r w:rsidR="00B562AB">
        <w:rPr>
          <w:rFonts w:cs="Arial"/>
        </w:rPr>
        <w:t>jest łącznie siedem projektów</w:t>
      </w:r>
      <w:r w:rsidR="005B0A0D">
        <w:rPr>
          <w:rFonts w:cs="Arial"/>
        </w:rPr>
        <w:t xml:space="preserve"> o szacowanej wartości ok. 2</w:t>
      </w:r>
      <w:r w:rsidR="005B0A0D" w:rsidRPr="00B562AB">
        <w:rPr>
          <w:rFonts w:cs="Arial"/>
        </w:rPr>
        <w:t xml:space="preserve"> mld zł.</w:t>
      </w:r>
      <w:r w:rsidR="005B0A0D">
        <w:rPr>
          <w:rFonts w:cs="Arial"/>
        </w:rPr>
        <w:t xml:space="preserve"> Na wszystkie PLK S.A. podpisały umowy z wnioskodawcami. Przetargi ogłoszono już na trzy projekty -</w:t>
      </w:r>
      <w:r w:rsidR="005B0A0D" w:rsidRPr="005B0A0D">
        <w:rPr>
          <w:rFonts w:cs="Arial"/>
        </w:rPr>
        <w:t xml:space="preserve"> </w:t>
      </w:r>
      <w:r w:rsidR="005B0A0D">
        <w:rPr>
          <w:rFonts w:cs="Arial"/>
        </w:rPr>
        <w:t xml:space="preserve">w grudniu na zaprojektowanie połączenia do </w:t>
      </w:r>
      <w:r w:rsidR="005B0A0D" w:rsidRPr="00476E61">
        <w:rPr>
          <w:rFonts w:cs="Arial"/>
        </w:rPr>
        <w:t>Jastrzębia-Zdroju</w:t>
      </w:r>
      <w:r w:rsidR="005B0A0D">
        <w:rPr>
          <w:rFonts w:cs="Arial"/>
        </w:rPr>
        <w:t xml:space="preserve">, w styczniu na dwa opisane powyżej. </w:t>
      </w:r>
    </w:p>
    <w:p w:rsidR="009A3086" w:rsidRPr="00BC0A50" w:rsidRDefault="009A3086" w:rsidP="00466521">
      <w:pPr>
        <w:pStyle w:val="Nagwek2"/>
        <w:spacing w:before="0" w:after="160" w:line="360" w:lineRule="auto"/>
        <w:rPr>
          <w:szCs w:val="22"/>
        </w:rPr>
      </w:pPr>
      <w:r w:rsidRPr="00BC0A50">
        <w:rPr>
          <w:szCs w:val="22"/>
        </w:rPr>
        <w:lastRenderedPageBreak/>
        <w:t>34 projekty do realizacji w ramach Programu Kolej Plus</w:t>
      </w:r>
    </w:p>
    <w:p w:rsidR="009228F4" w:rsidRPr="00BC0A50" w:rsidRDefault="009A3086" w:rsidP="00466521">
      <w:pPr>
        <w:spacing w:line="360" w:lineRule="auto"/>
        <w:rPr>
          <w:rFonts w:cs="Arial"/>
        </w:rPr>
      </w:pPr>
      <w:r w:rsidRPr="00BC0A50">
        <w:rPr>
          <w:rFonts w:cs="Arial"/>
        </w:rPr>
        <w:t>W ramach Programu Kolej Plus do realizacji zakwalifikowano 34 inwestycje</w:t>
      </w:r>
      <w:r w:rsidR="00A27178" w:rsidRPr="00BC0A50">
        <w:rPr>
          <w:rFonts w:cs="Arial"/>
        </w:rPr>
        <w:t>, które zostały</w:t>
      </w:r>
      <w:r w:rsidRPr="00BC0A50">
        <w:rPr>
          <w:rFonts w:cs="Arial"/>
        </w:rPr>
        <w:t xml:space="preserve"> zgłoszone przez samorządy z jedenastu w</w:t>
      </w:r>
      <w:r w:rsidR="007D6824">
        <w:rPr>
          <w:rFonts w:cs="Arial"/>
        </w:rPr>
        <w:t>ojewództw: siedem w woj. śląskim, pięć w woj.</w:t>
      </w:r>
      <w:r w:rsidRPr="00BC0A50">
        <w:rPr>
          <w:rFonts w:cs="Arial"/>
        </w:rPr>
        <w:t xml:space="preserve"> lubelskim </w:t>
      </w:r>
      <w:r w:rsidR="00A27178" w:rsidRPr="00BC0A50">
        <w:rPr>
          <w:rFonts w:cs="Arial"/>
        </w:rPr>
        <w:t>oraz</w:t>
      </w:r>
      <w:r w:rsidRPr="00BC0A50">
        <w:rPr>
          <w:rFonts w:cs="Arial"/>
        </w:rPr>
        <w:t xml:space="preserve"> wielkop</w:t>
      </w:r>
      <w:r w:rsidR="007D6824">
        <w:rPr>
          <w:rFonts w:cs="Arial"/>
        </w:rPr>
        <w:t>olskim, po cztery w woj.</w:t>
      </w:r>
      <w:r w:rsidRPr="00BC0A50">
        <w:rPr>
          <w:rFonts w:cs="Arial"/>
        </w:rPr>
        <w:t xml:space="preserve"> małopolskim </w:t>
      </w:r>
      <w:r w:rsidR="00A27178" w:rsidRPr="00BC0A50">
        <w:rPr>
          <w:rFonts w:cs="Arial"/>
        </w:rPr>
        <w:t>i</w:t>
      </w:r>
      <w:r w:rsidRPr="00BC0A50">
        <w:rPr>
          <w:rFonts w:cs="Arial"/>
        </w:rPr>
        <w:t xml:space="preserve"> mazowieckim, trzy w </w:t>
      </w:r>
      <w:r w:rsidR="007D6824">
        <w:rPr>
          <w:rFonts w:cs="Arial"/>
        </w:rPr>
        <w:t>woj.</w:t>
      </w:r>
      <w:r w:rsidRPr="00BC0A50">
        <w:rPr>
          <w:rFonts w:cs="Arial"/>
        </w:rPr>
        <w:t xml:space="preserve"> </w:t>
      </w:r>
      <w:r w:rsidR="007D6824">
        <w:rPr>
          <w:rFonts w:cs="Arial"/>
        </w:rPr>
        <w:t>dolnośląskim, dwa w woj.</w:t>
      </w:r>
      <w:r w:rsidRPr="00BC0A50">
        <w:rPr>
          <w:rFonts w:cs="Arial"/>
        </w:rPr>
        <w:t xml:space="preserve"> ł</w:t>
      </w:r>
      <w:r w:rsidR="007D6824">
        <w:rPr>
          <w:rFonts w:cs="Arial"/>
        </w:rPr>
        <w:t>ódzkim, po jednym w woj.</w:t>
      </w:r>
      <w:r w:rsidR="00A27178" w:rsidRPr="00BC0A50">
        <w:rPr>
          <w:rFonts w:cs="Arial"/>
        </w:rPr>
        <w:t>: lubuskim, opolskim, podlaskim i</w:t>
      </w:r>
      <w:r w:rsidRPr="00BC0A50">
        <w:rPr>
          <w:rFonts w:cs="Arial"/>
        </w:rPr>
        <w:t xml:space="preserve"> świętokrzyskim. </w:t>
      </w:r>
      <w:r w:rsidR="00A27178" w:rsidRPr="00BC0A50">
        <w:rPr>
          <w:rFonts w:cs="Arial"/>
        </w:rPr>
        <w:t>Projekty wybrane do realizacji</w:t>
      </w:r>
      <w:r w:rsidRPr="00BC0A50">
        <w:rPr>
          <w:rFonts w:cs="Arial"/>
        </w:rPr>
        <w:t xml:space="preserve"> obejmują łącznie 34 wskazane przez wnioskodawców miasta powyżej 10 tys. mieszkańców, które nie mają obecnie pasażerskich połączeń kolejowych lub połączenia wymagają usprawnienia. Dzięki realizacji Kolei Plus ok. 1,5 mln ich mieszkańców zyska lep</w:t>
      </w:r>
      <w:r w:rsidR="003C30A7">
        <w:rPr>
          <w:rFonts w:cs="Arial"/>
        </w:rPr>
        <w:t>szy dostęp do kolei</w:t>
      </w:r>
      <w:r w:rsidRPr="00BC0A50">
        <w:rPr>
          <w:rFonts w:cs="Arial"/>
        </w:rPr>
        <w:t>.</w:t>
      </w:r>
    </w:p>
    <w:p w:rsidR="009A3086" w:rsidRPr="00BC0A50" w:rsidRDefault="009A3086" w:rsidP="00466521">
      <w:pPr>
        <w:pStyle w:val="Nagwek2"/>
        <w:spacing w:before="0" w:after="160" w:line="360" w:lineRule="auto"/>
        <w:rPr>
          <w:szCs w:val="22"/>
        </w:rPr>
      </w:pPr>
      <w:r w:rsidRPr="00BC0A50">
        <w:rPr>
          <w:szCs w:val="22"/>
        </w:rPr>
        <w:t>Projekty w Programie obejmują:</w:t>
      </w:r>
    </w:p>
    <w:p w:rsidR="009A3086" w:rsidRPr="00BC0A50" w:rsidRDefault="009A3086" w:rsidP="00BC0A50">
      <w:pPr>
        <w:numPr>
          <w:ilvl w:val="0"/>
          <w:numId w:val="8"/>
        </w:numPr>
        <w:spacing w:before="100" w:beforeAutospacing="1" w:after="100" w:afterAutospacing="1" w:line="360" w:lineRule="auto"/>
        <w:contextualSpacing/>
        <w:rPr>
          <w:rFonts w:cs="Arial"/>
        </w:rPr>
      </w:pPr>
      <w:r w:rsidRPr="00BC0A50">
        <w:rPr>
          <w:rFonts w:cs="Arial"/>
        </w:rPr>
        <w:t>10 projektów dot. rewitalizacji linii na łączną długość ok. 315 km,</w:t>
      </w:r>
    </w:p>
    <w:p w:rsidR="009A3086" w:rsidRPr="00BC0A50" w:rsidRDefault="009A3086" w:rsidP="00BC0A50">
      <w:pPr>
        <w:numPr>
          <w:ilvl w:val="0"/>
          <w:numId w:val="8"/>
        </w:numPr>
        <w:spacing w:before="100" w:beforeAutospacing="1" w:after="100" w:afterAutospacing="1" w:line="360" w:lineRule="auto"/>
        <w:contextualSpacing/>
        <w:rPr>
          <w:rFonts w:cs="Arial"/>
        </w:rPr>
      </w:pPr>
      <w:r w:rsidRPr="00BC0A50">
        <w:rPr>
          <w:rFonts w:cs="Arial"/>
        </w:rPr>
        <w:t>14 projektów dot. odbudowy lub rozbudowy linii na łączną długość ok. 516 km,</w:t>
      </w:r>
    </w:p>
    <w:p w:rsidR="009A3086" w:rsidRPr="00BC0A50" w:rsidRDefault="009A3086" w:rsidP="00BC0A50">
      <w:pPr>
        <w:numPr>
          <w:ilvl w:val="0"/>
          <w:numId w:val="8"/>
        </w:numPr>
        <w:spacing w:before="100" w:beforeAutospacing="1" w:after="100" w:afterAutospacing="1" w:line="360" w:lineRule="auto"/>
        <w:contextualSpacing/>
        <w:rPr>
          <w:rFonts w:cs="Arial"/>
        </w:rPr>
      </w:pPr>
      <w:r w:rsidRPr="00BC0A50">
        <w:rPr>
          <w:rFonts w:cs="Arial"/>
        </w:rPr>
        <w:t>7 projektów dot. budowy nowych linii na łączną długość ok. 189 km,</w:t>
      </w:r>
    </w:p>
    <w:p w:rsidR="009A3086" w:rsidRPr="00BC0A50" w:rsidRDefault="009A3086" w:rsidP="00BC0A50">
      <w:pPr>
        <w:numPr>
          <w:ilvl w:val="0"/>
          <w:numId w:val="8"/>
        </w:numPr>
        <w:spacing w:before="100" w:beforeAutospacing="1" w:after="100" w:afterAutospacing="1" w:line="360" w:lineRule="auto"/>
        <w:contextualSpacing/>
        <w:rPr>
          <w:rFonts w:cs="Arial"/>
        </w:rPr>
      </w:pPr>
      <w:r w:rsidRPr="00BC0A50">
        <w:rPr>
          <w:rFonts w:cs="Arial"/>
        </w:rPr>
        <w:t>3 projekty dokumentacyjne dotyczące ok. 183 km linii kolejowych.</w:t>
      </w:r>
    </w:p>
    <w:p w:rsidR="009A3086" w:rsidRPr="00BC0A50" w:rsidRDefault="009A3086" w:rsidP="00466521">
      <w:pPr>
        <w:pStyle w:val="Nagwek2"/>
        <w:spacing w:before="0" w:after="160" w:line="360" w:lineRule="auto"/>
        <w:rPr>
          <w:szCs w:val="22"/>
        </w:rPr>
      </w:pPr>
      <w:r w:rsidRPr="00BC0A50">
        <w:rPr>
          <w:szCs w:val="22"/>
        </w:rPr>
        <w:t>Podstawowe warunki realizacji inwestycji w ramach Programu:</w:t>
      </w:r>
    </w:p>
    <w:p w:rsidR="009A3086" w:rsidRPr="00BC0A50" w:rsidRDefault="009A3086" w:rsidP="00BC0A50">
      <w:pPr>
        <w:numPr>
          <w:ilvl w:val="0"/>
          <w:numId w:val="9"/>
        </w:numPr>
        <w:spacing w:before="100" w:beforeAutospacing="1" w:after="100" w:afterAutospacing="1" w:line="360" w:lineRule="auto"/>
        <w:contextualSpacing/>
        <w:rPr>
          <w:rFonts w:cs="Arial"/>
        </w:rPr>
      </w:pPr>
      <w:r w:rsidRPr="00BC0A50">
        <w:rPr>
          <w:rFonts w:cs="Arial"/>
        </w:rPr>
        <w:t>zapewnienie współfinansowania w wysokości co najmniej 15 proc. kosztów kwalifikowalnych przez podmioty zgłaszające i współfinansowania kosztów niekwalifikowalnych (gdy dotyczy);</w:t>
      </w:r>
    </w:p>
    <w:p w:rsidR="009A3086" w:rsidRPr="00BC0A50" w:rsidRDefault="009A3086" w:rsidP="00BC0A50">
      <w:pPr>
        <w:numPr>
          <w:ilvl w:val="0"/>
          <w:numId w:val="9"/>
        </w:numPr>
        <w:spacing w:before="100" w:beforeAutospacing="1" w:after="100" w:afterAutospacing="1" w:line="360" w:lineRule="auto"/>
        <w:contextualSpacing/>
        <w:rPr>
          <w:rFonts w:cs="Arial"/>
        </w:rPr>
      </w:pPr>
      <w:r w:rsidRPr="00BC0A50">
        <w:rPr>
          <w:rFonts w:cs="Arial"/>
        </w:rPr>
        <w:t>przedłożenie deklaracji organizatora przewozów dla połączenia – min. 4 pary pociągów przez co najmniej 5 lat;</w:t>
      </w:r>
    </w:p>
    <w:p w:rsidR="009A3086" w:rsidRPr="00BC0A50" w:rsidRDefault="009A3086" w:rsidP="00466521">
      <w:pPr>
        <w:numPr>
          <w:ilvl w:val="0"/>
          <w:numId w:val="9"/>
        </w:numPr>
        <w:spacing w:line="360" w:lineRule="auto"/>
        <w:ind w:left="714" w:hanging="357"/>
        <w:rPr>
          <w:rFonts w:cs="Arial"/>
        </w:rPr>
      </w:pPr>
      <w:r w:rsidRPr="00BC0A50">
        <w:rPr>
          <w:rFonts w:cs="Arial"/>
        </w:rPr>
        <w:t xml:space="preserve">zawarcie umowy na realizację inwestycji pomiędzy wnioskodawcą a PKP </w:t>
      </w:r>
      <w:r w:rsidR="00A846BC">
        <w:rPr>
          <w:rFonts w:cs="Arial"/>
        </w:rPr>
        <w:t xml:space="preserve">PLK S.A. </w:t>
      </w:r>
      <w:r w:rsidRPr="00BC0A50">
        <w:rPr>
          <w:rFonts w:cs="Arial"/>
        </w:rPr>
        <w:t>Polskie Linie Kolejowe S.A.</w:t>
      </w:r>
    </w:p>
    <w:p w:rsidR="00681C6E" w:rsidRDefault="009A3086" w:rsidP="00601FC5">
      <w:pPr>
        <w:spacing w:before="100" w:beforeAutospacing="1" w:after="100" w:afterAutospacing="1" w:line="360" w:lineRule="auto"/>
        <w:contextualSpacing/>
        <w:rPr>
          <w:rStyle w:val="Hipercze"/>
          <w:rFonts w:cs="Arial"/>
        </w:rPr>
      </w:pPr>
      <w:r w:rsidRPr="00BC0A50">
        <w:rPr>
          <w:rFonts w:cs="Arial"/>
        </w:rPr>
        <w:t>Program Kolej Plus zaplan</w:t>
      </w:r>
      <w:r w:rsidR="00462889">
        <w:rPr>
          <w:rFonts w:cs="Arial"/>
        </w:rPr>
        <w:t>owano do realizacji do 2029 r</w:t>
      </w:r>
      <w:r w:rsidRPr="00BC0A50">
        <w:rPr>
          <w:rFonts w:cs="Arial"/>
        </w:rPr>
        <w:t>. Jego realizacja wpłynie na poprawę warunków życia mieszkańców i wzrost atrakcyjności wielu regionów. Będący pod egidą Ministerstwa Infrastruktury Program jest wart 13,2 mld zł, w tym 11,2 mld zł stanowią środki Budżetu Państwa i ok. 2 mld środki jednostek samorządu terytorialnego. Program przyczyni się do eliminowania wykluczenia komunikacyjnego poprzez zapewnienie lepszego dostępu do najbardziej ekologicznego środka transportu zbiorowego - kole</w:t>
      </w:r>
      <w:r w:rsidR="00462889">
        <w:rPr>
          <w:rFonts w:cs="Arial"/>
        </w:rPr>
        <w:t>i. Więcej o Programie</w:t>
      </w:r>
      <w:r w:rsidRPr="00BC0A50">
        <w:rPr>
          <w:rFonts w:cs="Arial"/>
        </w:rPr>
        <w:t> </w:t>
      </w:r>
      <w:hyperlink r:id="rId8" w:tgtFrame="_blank" w:tooltip="Link do strony z informacją o Programie Kolej Plus" w:history="1">
        <w:r w:rsidRPr="00BC0A50">
          <w:rPr>
            <w:rStyle w:val="Hipercze"/>
            <w:rFonts w:cs="Arial"/>
          </w:rPr>
          <w:t>https://www.plk-sa.pl/program-kolej-plus</w:t>
        </w:r>
      </w:hyperlink>
    </w:p>
    <w:p w:rsidR="005C211C" w:rsidRDefault="005C211C" w:rsidP="008B6702">
      <w:pPr>
        <w:rPr>
          <w:rStyle w:val="Pogrubienie"/>
          <w:rFonts w:cs="Arial"/>
        </w:rPr>
      </w:pPr>
    </w:p>
    <w:p w:rsidR="008B6702" w:rsidRPr="00CD422D" w:rsidRDefault="008B6702" w:rsidP="008B6702">
      <w:pPr>
        <w:rPr>
          <w:rStyle w:val="Pogrubienie"/>
          <w:rFonts w:cs="Arial"/>
        </w:rPr>
      </w:pPr>
      <w:r w:rsidRPr="00CD422D">
        <w:rPr>
          <w:rStyle w:val="Pogrubienie"/>
          <w:rFonts w:cs="Arial"/>
        </w:rPr>
        <w:t>Kontakt dla mediów:</w:t>
      </w:r>
    </w:p>
    <w:p w:rsidR="008B6702" w:rsidRPr="008B6702" w:rsidRDefault="008B6702" w:rsidP="008B6702">
      <w:pPr>
        <w:spacing w:before="100" w:beforeAutospacing="1" w:after="100" w:afterAutospacing="1" w:line="240" w:lineRule="auto"/>
        <w:rPr>
          <w:rFonts w:cs="Arial"/>
        </w:rPr>
      </w:pPr>
      <w:r w:rsidRPr="00CD422D">
        <w:rPr>
          <w:rFonts w:cs="Arial"/>
          <w:bCs/>
        </w:rPr>
        <w:t>Katarzyna Głowacka</w:t>
      </w:r>
      <w:r w:rsidRPr="00CD422D">
        <w:rPr>
          <w:rFonts w:cs="Arial"/>
          <w:bCs/>
        </w:rPr>
        <w:br/>
        <w:t>zespół prasowy</w:t>
      </w:r>
      <w:r w:rsidRPr="00CD422D">
        <w:rPr>
          <w:rFonts w:cs="Arial"/>
          <w:bCs/>
        </w:rPr>
        <w:br/>
        <w:t>PKP Polskie Linie Kolejowe S.A.</w:t>
      </w:r>
      <w:r w:rsidRPr="00CD422D">
        <w:rPr>
          <w:rFonts w:cs="Arial"/>
          <w:bCs/>
        </w:rPr>
        <w:br/>
      </w:r>
      <w:r w:rsidRPr="00CD422D">
        <w:rPr>
          <w:rFonts w:cs="Arial"/>
          <w:bCs/>
          <w:u w:val="single"/>
        </w:rPr>
        <w:t>rzecznik@plk-sa.pl</w:t>
      </w:r>
      <w:r w:rsidRPr="00CD422D">
        <w:rPr>
          <w:rFonts w:cs="Arial"/>
          <w:bCs/>
        </w:rPr>
        <w:br/>
        <w:t>T: +48 697 044</w:t>
      </w:r>
      <w:r>
        <w:rPr>
          <w:rFonts w:cs="Arial"/>
          <w:bCs/>
        </w:rPr>
        <w:t> </w:t>
      </w:r>
      <w:r w:rsidRPr="00CD422D">
        <w:rPr>
          <w:rFonts w:cs="Arial"/>
          <w:bCs/>
        </w:rPr>
        <w:t>571</w:t>
      </w:r>
    </w:p>
    <w:sectPr w:rsidR="008B6702" w:rsidRPr="008B6702" w:rsidSect="00CE76EE">
      <w:headerReference w:type="first" r:id="rId9"/>
      <w:footerReference w:type="first" r:id="rId10"/>
      <w:pgSz w:w="11906" w:h="16838"/>
      <w:pgMar w:top="1135" w:right="1133" w:bottom="851" w:left="993" w:header="709" w:footer="4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0E8" w:rsidRDefault="002250E8" w:rsidP="009D1AEB">
      <w:pPr>
        <w:spacing w:after="0" w:line="240" w:lineRule="auto"/>
      </w:pPr>
      <w:r>
        <w:separator/>
      </w:r>
    </w:p>
  </w:endnote>
  <w:endnote w:type="continuationSeparator" w:id="0">
    <w:p w:rsidR="002250E8" w:rsidRDefault="002250E8"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FE" w:rsidRPr="00714D33" w:rsidRDefault="00E034FE" w:rsidP="00E034FE">
    <w:pPr>
      <w:spacing w:after="0" w:line="240" w:lineRule="auto"/>
      <w:jc w:val="both"/>
      <w:rPr>
        <w:rFonts w:cs="Arial"/>
        <w:color w:val="727271"/>
        <w:sz w:val="14"/>
        <w:szCs w:val="14"/>
      </w:rPr>
    </w:pPr>
    <w:r w:rsidRPr="00714D33">
      <w:rPr>
        <w:rFonts w:cs="Arial"/>
        <w:color w:val="727271"/>
        <w:sz w:val="14"/>
        <w:szCs w:val="14"/>
      </w:rPr>
      <w:t xml:space="preserve">Spółka wpisana do rejestru przedsiębiorców prowadzonego przez Sąd Rejonowy dla m. st. Warszawy w Warszawie </w:t>
    </w:r>
  </w:p>
  <w:p w:rsidR="00E034FE" w:rsidRPr="00714D33" w:rsidRDefault="00E034FE" w:rsidP="00E034FE">
    <w:pPr>
      <w:spacing w:after="0" w:line="240" w:lineRule="auto"/>
      <w:jc w:val="both"/>
      <w:rPr>
        <w:rFonts w:cs="Arial"/>
        <w:color w:val="727271"/>
        <w:sz w:val="14"/>
        <w:szCs w:val="14"/>
      </w:rPr>
    </w:pPr>
    <w:r w:rsidRPr="00714D33">
      <w:rPr>
        <w:rFonts w:cs="Arial"/>
        <w:color w:val="727271"/>
        <w:sz w:val="14"/>
        <w:szCs w:val="14"/>
      </w:rPr>
      <w:t xml:space="preserve">XIV Wydział Gospodarczy Krajowego Rejestru Sądowego pod numerem KRS 0000037568, NIP 113-23-16-427, </w:t>
    </w:r>
  </w:p>
  <w:p w:rsidR="00860074" w:rsidRPr="00E034FE" w:rsidRDefault="00E034FE" w:rsidP="00E034FE">
    <w:pPr>
      <w:spacing w:after="0" w:line="240" w:lineRule="auto"/>
      <w:jc w:val="both"/>
      <w:rPr>
        <w:rFonts w:cs="Arial"/>
        <w:color w:val="727271"/>
        <w:sz w:val="14"/>
        <w:szCs w:val="14"/>
      </w:rPr>
    </w:pPr>
    <w:r w:rsidRPr="00714D33">
      <w:rPr>
        <w:rFonts w:cs="Arial"/>
        <w:color w:val="727271"/>
        <w:sz w:val="14"/>
        <w:szCs w:val="14"/>
      </w:rPr>
      <w:t xml:space="preserve">REGON 017319027. Wysokość kapitału zakładowego w całości wpłaconego: </w:t>
    </w:r>
    <w:r w:rsidR="008B6702" w:rsidRPr="008B6702">
      <w:rPr>
        <w:rFonts w:cs="Arial"/>
        <w:color w:val="727271"/>
        <w:sz w:val="14"/>
        <w:szCs w:val="14"/>
      </w:rPr>
      <w:t>32.069.349.000,00 zł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0E8" w:rsidRDefault="002250E8" w:rsidP="009D1AEB">
      <w:pPr>
        <w:spacing w:after="0" w:line="240" w:lineRule="auto"/>
      </w:pPr>
      <w:r>
        <w:separator/>
      </w:r>
    </w:p>
  </w:footnote>
  <w:footnote w:type="continuationSeparator" w:id="0">
    <w:p w:rsidR="002250E8" w:rsidRDefault="002250E8" w:rsidP="009D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221F39FB" wp14:editId="2300255B">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a:extLst/>
                    </wps:spPr>
                    <wps:txbx>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1F39FB"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57A5DF5C" wp14:editId="1176BB52">
          <wp:simplePos x="0" y="0"/>
          <wp:positionH relativeFrom="margin">
            <wp:align>right</wp:align>
          </wp:positionH>
          <wp:positionV relativeFrom="paragraph">
            <wp:posOffset>6350</wp:posOffset>
          </wp:positionV>
          <wp:extent cx="2180590" cy="352425"/>
          <wp:effectExtent l="0" t="0" r="0" b="9525"/>
          <wp:wrapNone/>
          <wp:docPr id="4" name="Obraz 4"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69B4"/>
    <w:multiLevelType w:val="hybridMultilevel"/>
    <w:tmpl w:val="F1A26C18"/>
    <w:lvl w:ilvl="0" w:tplc="0415000D">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 w15:restartNumberingAfterBreak="0">
    <w:nsid w:val="094D7190"/>
    <w:multiLevelType w:val="hybridMultilevel"/>
    <w:tmpl w:val="F532162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111E63AE"/>
    <w:multiLevelType w:val="multilevel"/>
    <w:tmpl w:val="CB8E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F6D22"/>
    <w:multiLevelType w:val="hybridMultilevel"/>
    <w:tmpl w:val="0FFEFA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 w15:restartNumberingAfterBreak="0">
    <w:nsid w:val="34CE02ED"/>
    <w:multiLevelType w:val="multilevel"/>
    <w:tmpl w:val="E960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351E8A"/>
    <w:multiLevelType w:val="multilevel"/>
    <w:tmpl w:val="A556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4E162D"/>
    <w:multiLevelType w:val="multilevel"/>
    <w:tmpl w:val="F118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2"/>
  </w:num>
  <w:num w:numId="5">
    <w:abstractNumId w:val="7"/>
  </w:num>
  <w:num w:numId="6">
    <w:abstractNumId w:val="1"/>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0469B"/>
    <w:rsid w:val="00004877"/>
    <w:rsid w:val="00005C80"/>
    <w:rsid w:val="000108AC"/>
    <w:rsid w:val="00010EA5"/>
    <w:rsid w:val="00027E62"/>
    <w:rsid w:val="00040C2E"/>
    <w:rsid w:val="000418CE"/>
    <w:rsid w:val="000444C6"/>
    <w:rsid w:val="00045ABE"/>
    <w:rsid w:val="00047DB3"/>
    <w:rsid w:val="00047E85"/>
    <w:rsid w:val="0005304C"/>
    <w:rsid w:val="00062D29"/>
    <w:rsid w:val="000646DF"/>
    <w:rsid w:val="000751E8"/>
    <w:rsid w:val="0007763E"/>
    <w:rsid w:val="00084B47"/>
    <w:rsid w:val="00087831"/>
    <w:rsid w:val="000A1DC1"/>
    <w:rsid w:val="000A2F69"/>
    <w:rsid w:val="000A518F"/>
    <w:rsid w:val="000B60A3"/>
    <w:rsid w:val="000B7E22"/>
    <w:rsid w:val="000D78E4"/>
    <w:rsid w:val="000E16CD"/>
    <w:rsid w:val="000E3F3D"/>
    <w:rsid w:val="000E5986"/>
    <w:rsid w:val="000F3BBA"/>
    <w:rsid w:val="000F6F01"/>
    <w:rsid w:val="00113F57"/>
    <w:rsid w:val="001173E0"/>
    <w:rsid w:val="00120D6C"/>
    <w:rsid w:val="001323F8"/>
    <w:rsid w:val="001371FA"/>
    <w:rsid w:val="00141E4C"/>
    <w:rsid w:val="00146764"/>
    <w:rsid w:val="00157BA5"/>
    <w:rsid w:val="00157FE2"/>
    <w:rsid w:val="00160625"/>
    <w:rsid w:val="00171492"/>
    <w:rsid w:val="00190E6B"/>
    <w:rsid w:val="001A0054"/>
    <w:rsid w:val="001A1053"/>
    <w:rsid w:val="001B46BE"/>
    <w:rsid w:val="001B6CA7"/>
    <w:rsid w:val="001B79B6"/>
    <w:rsid w:val="001C0CEB"/>
    <w:rsid w:val="001C2B8C"/>
    <w:rsid w:val="001C4B7A"/>
    <w:rsid w:val="001C5273"/>
    <w:rsid w:val="001E6D26"/>
    <w:rsid w:val="0020085A"/>
    <w:rsid w:val="002039BC"/>
    <w:rsid w:val="002075F0"/>
    <w:rsid w:val="0021677E"/>
    <w:rsid w:val="002250E8"/>
    <w:rsid w:val="00227B82"/>
    <w:rsid w:val="00231D2F"/>
    <w:rsid w:val="00236985"/>
    <w:rsid w:val="00237E95"/>
    <w:rsid w:val="00274D32"/>
    <w:rsid w:val="00277762"/>
    <w:rsid w:val="00291328"/>
    <w:rsid w:val="0029616E"/>
    <w:rsid w:val="002A6AB6"/>
    <w:rsid w:val="002B1FC8"/>
    <w:rsid w:val="002B3935"/>
    <w:rsid w:val="002C2961"/>
    <w:rsid w:val="002C36D8"/>
    <w:rsid w:val="002C4270"/>
    <w:rsid w:val="002D081E"/>
    <w:rsid w:val="002E5628"/>
    <w:rsid w:val="002F5297"/>
    <w:rsid w:val="002F6767"/>
    <w:rsid w:val="002F7267"/>
    <w:rsid w:val="003051E3"/>
    <w:rsid w:val="00305572"/>
    <w:rsid w:val="00307237"/>
    <w:rsid w:val="003153DC"/>
    <w:rsid w:val="00330825"/>
    <w:rsid w:val="00330C61"/>
    <w:rsid w:val="003342D2"/>
    <w:rsid w:val="00334920"/>
    <w:rsid w:val="00346E5E"/>
    <w:rsid w:val="003705AB"/>
    <w:rsid w:val="00375ABF"/>
    <w:rsid w:val="00375ECF"/>
    <w:rsid w:val="003763F4"/>
    <w:rsid w:val="00377C74"/>
    <w:rsid w:val="0038086A"/>
    <w:rsid w:val="00393E51"/>
    <w:rsid w:val="00395D0E"/>
    <w:rsid w:val="003A1DF9"/>
    <w:rsid w:val="003A3BFD"/>
    <w:rsid w:val="003A56B1"/>
    <w:rsid w:val="003B0138"/>
    <w:rsid w:val="003C1F63"/>
    <w:rsid w:val="003C30A7"/>
    <w:rsid w:val="003E794F"/>
    <w:rsid w:val="003F0C77"/>
    <w:rsid w:val="003F7320"/>
    <w:rsid w:val="004058B2"/>
    <w:rsid w:val="00405B66"/>
    <w:rsid w:val="004120FA"/>
    <w:rsid w:val="004265D8"/>
    <w:rsid w:val="00433858"/>
    <w:rsid w:val="00443AC9"/>
    <w:rsid w:val="00452FB3"/>
    <w:rsid w:val="00455DC9"/>
    <w:rsid w:val="00462889"/>
    <w:rsid w:val="0046454A"/>
    <w:rsid w:val="00466521"/>
    <w:rsid w:val="00471426"/>
    <w:rsid w:val="00476E61"/>
    <w:rsid w:val="00480B16"/>
    <w:rsid w:val="00487C92"/>
    <w:rsid w:val="004A1187"/>
    <w:rsid w:val="004C11E0"/>
    <w:rsid w:val="004D0442"/>
    <w:rsid w:val="004D7F09"/>
    <w:rsid w:val="004E6C6C"/>
    <w:rsid w:val="004F1593"/>
    <w:rsid w:val="0051769C"/>
    <w:rsid w:val="00523C46"/>
    <w:rsid w:val="00525C2A"/>
    <w:rsid w:val="00527A22"/>
    <w:rsid w:val="00532473"/>
    <w:rsid w:val="00532860"/>
    <w:rsid w:val="00534327"/>
    <w:rsid w:val="005455CC"/>
    <w:rsid w:val="005457CA"/>
    <w:rsid w:val="00545BC4"/>
    <w:rsid w:val="005560F2"/>
    <w:rsid w:val="0057269A"/>
    <w:rsid w:val="00573EF3"/>
    <w:rsid w:val="00574C88"/>
    <w:rsid w:val="00582E85"/>
    <w:rsid w:val="005A36E5"/>
    <w:rsid w:val="005A6998"/>
    <w:rsid w:val="005B0A0D"/>
    <w:rsid w:val="005B5311"/>
    <w:rsid w:val="005C211C"/>
    <w:rsid w:val="005C4431"/>
    <w:rsid w:val="005D007D"/>
    <w:rsid w:val="005D2DD3"/>
    <w:rsid w:val="005D48F3"/>
    <w:rsid w:val="005E56A4"/>
    <w:rsid w:val="005F5099"/>
    <w:rsid w:val="00601FC5"/>
    <w:rsid w:val="00603FFC"/>
    <w:rsid w:val="00612C70"/>
    <w:rsid w:val="00613B9C"/>
    <w:rsid w:val="00620C91"/>
    <w:rsid w:val="00622F0A"/>
    <w:rsid w:val="00625135"/>
    <w:rsid w:val="00627E0B"/>
    <w:rsid w:val="00632B6B"/>
    <w:rsid w:val="0063625B"/>
    <w:rsid w:val="0064774B"/>
    <w:rsid w:val="006579C0"/>
    <w:rsid w:val="00664E62"/>
    <w:rsid w:val="00677933"/>
    <w:rsid w:val="00681C6E"/>
    <w:rsid w:val="00686210"/>
    <w:rsid w:val="00687995"/>
    <w:rsid w:val="006B0EE6"/>
    <w:rsid w:val="006B2745"/>
    <w:rsid w:val="006B4D4A"/>
    <w:rsid w:val="006B4FEE"/>
    <w:rsid w:val="006B6D07"/>
    <w:rsid w:val="006C6C1C"/>
    <w:rsid w:val="006C7789"/>
    <w:rsid w:val="006D522E"/>
    <w:rsid w:val="006D7B9D"/>
    <w:rsid w:val="006D7F85"/>
    <w:rsid w:val="006E1E02"/>
    <w:rsid w:val="006E277A"/>
    <w:rsid w:val="006E3AFC"/>
    <w:rsid w:val="006E4F45"/>
    <w:rsid w:val="006F5154"/>
    <w:rsid w:val="00706CE5"/>
    <w:rsid w:val="007105C4"/>
    <w:rsid w:val="00711EA4"/>
    <w:rsid w:val="007130DE"/>
    <w:rsid w:val="00713A09"/>
    <w:rsid w:val="007222EE"/>
    <w:rsid w:val="0073517F"/>
    <w:rsid w:val="00740CCD"/>
    <w:rsid w:val="007467FD"/>
    <w:rsid w:val="00755272"/>
    <w:rsid w:val="0076587B"/>
    <w:rsid w:val="00767FD1"/>
    <w:rsid w:val="0078314B"/>
    <w:rsid w:val="00783D10"/>
    <w:rsid w:val="00785BD8"/>
    <w:rsid w:val="0079742E"/>
    <w:rsid w:val="007A29EC"/>
    <w:rsid w:val="007D6824"/>
    <w:rsid w:val="007E0FD0"/>
    <w:rsid w:val="007F2024"/>
    <w:rsid w:val="007F3648"/>
    <w:rsid w:val="00800ABE"/>
    <w:rsid w:val="0080356F"/>
    <w:rsid w:val="0081698D"/>
    <w:rsid w:val="00817A26"/>
    <w:rsid w:val="00822906"/>
    <w:rsid w:val="008234C3"/>
    <w:rsid w:val="008263D2"/>
    <w:rsid w:val="00827922"/>
    <w:rsid w:val="00827BC9"/>
    <w:rsid w:val="00832C21"/>
    <w:rsid w:val="00833053"/>
    <w:rsid w:val="00850EDB"/>
    <w:rsid w:val="00855ABA"/>
    <w:rsid w:val="00860074"/>
    <w:rsid w:val="00866591"/>
    <w:rsid w:val="008871D9"/>
    <w:rsid w:val="008908B7"/>
    <w:rsid w:val="0089315D"/>
    <w:rsid w:val="008B0D70"/>
    <w:rsid w:val="008B1B9D"/>
    <w:rsid w:val="008B6702"/>
    <w:rsid w:val="008B6FCB"/>
    <w:rsid w:val="008C2699"/>
    <w:rsid w:val="008C4123"/>
    <w:rsid w:val="008D5441"/>
    <w:rsid w:val="008D5DE4"/>
    <w:rsid w:val="008D7F3C"/>
    <w:rsid w:val="008E0E21"/>
    <w:rsid w:val="008E2C11"/>
    <w:rsid w:val="008E2FF4"/>
    <w:rsid w:val="008E7062"/>
    <w:rsid w:val="008F2047"/>
    <w:rsid w:val="008F23D1"/>
    <w:rsid w:val="00903DE0"/>
    <w:rsid w:val="009228F4"/>
    <w:rsid w:val="00927523"/>
    <w:rsid w:val="00931F69"/>
    <w:rsid w:val="00935D08"/>
    <w:rsid w:val="00944F16"/>
    <w:rsid w:val="00944F63"/>
    <w:rsid w:val="009554EF"/>
    <w:rsid w:val="009605B3"/>
    <w:rsid w:val="00961642"/>
    <w:rsid w:val="009663D7"/>
    <w:rsid w:val="009717CE"/>
    <w:rsid w:val="00997418"/>
    <w:rsid w:val="009A1086"/>
    <w:rsid w:val="009A17E4"/>
    <w:rsid w:val="009A3086"/>
    <w:rsid w:val="009B08C0"/>
    <w:rsid w:val="009B262F"/>
    <w:rsid w:val="009B42F8"/>
    <w:rsid w:val="009B5A2A"/>
    <w:rsid w:val="009C4DCE"/>
    <w:rsid w:val="009D1AEB"/>
    <w:rsid w:val="009D2AD7"/>
    <w:rsid w:val="009F3A27"/>
    <w:rsid w:val="009F7445"/>
    <w:rsid w:val="00A023F4"/>
    <w:rsid w:val="00A0388E"/>
    <w:rsid w:val="00A04254"/>
    <w:rsid w:val="00A147C5"/>
    <w:rsid w:val="00A15AED"/>
    <w:rsid w:val="00A25F9C"/>
    <w:rsid w:val="00A27178"/>
    <w:rsid w:val="00A475C1"/>
    <w:rsid w:val="00A50957"/>
    <w:rsid w:val="00A62CB6"/>
    <w:rsid w:val="00A63D52"/>
    <w:rsid w:val="00A71022"/>
    <w:rsid w:val="00A71EB7"/>
    <w:rsid w:val="00A73D63"/>
    <w:rsid w:val="00A7412E"/>
    <w:rsid w:val="00A80E7D"/>
    <w:rsid w:val="00A82974"/>
    <w:rsid w:val="00A846BC"/>
    <w:rsid w:val="00A8692A"/>
    <w:rsid w:val="00A87BA7"/>
    <w:rsid w:val="00A92C97"/>
    <w:rsid w:val="00AA148F"/>
    <w:rsid w:val="00AB3AF5"/>
    <w:rsid w:val="00AC105A"/>
    <w:rsid w:val="00AC2FCE"/>
    <w:rsid w:val="00AE0224"/>
    <w:rsid w:val="00AE38D0"/>
    <w:rsid w:val="00AE7E5D"/>
    <w:rsid w:val="00B109CB"/>
    <w:rsid w:val="00B257DC"/>
    <w:rsid w:val="00B27B0A"/>
    <w:rsid w:val="00B3546F"/>
    <w:rsid w:val="00B40C5F"/>
    <w:rsid w:val="00B5161E"/>
    <w:rsid w:val="00B562AB"/>
    <w:rsid w:val="00B6423E"/>
    <w:rsid w:val="00B76037"/>
    <w:rsid w:val="00B86A9E"/>
    <w:rsid w:val="00B875AE"/>
    <w:rsid w:val="00B93B1C"/>
    <w:rsid w:val="00B94929"/>
    <w:rsid w:val="00BA258E"/>
    <w:rsid w:val="00BA69CF"/>
    <w:rsid w:val="00BA6CFB"/>
    <w:rsid w:val="00BB6657"/>
    <w:rsid w:val="00BC0A50"/>
    <w:rsid w:val="00BC4ABE"/>
    <w:rsid w:val="00BD1561"/>
    <w:rsid w:val="00BD1ACB"/>
    <w:rsid w:val="00BD316C"/>
    <w:rsid w:val="00BD4E48"/>
    <w:rsid w:val="00BE1905"/>
    <w:rsid w:val="00BE30C9"/>
    <w:rsid w:val="00BE4825"/>
    <w:rsid w:val="00BF09E7"/>
    <w:rsid w:val="00C15A10"/>
    <w:rsid w:val="00C22C99"/>
    <w:rsid w:val="00C332FA"/>
    <w:rsid w:val="00C33D09"/>
    <w:rsid w:val="00C340C9"/>
    <w:rsid w:val="00C429FD"/>
    <w:rsid w:val="00C4370D"/>
    <w:rsid w:val="00C43C59"/>
    <w:rsid w:val="00C50D95"/>
    <w:rsid w:val="00C5178B"/>
    <w:rsid w:val="00C56ECC"/>
    <w:rsid w:val="00C638A6"/>
    <w:rsid w:val="00C63DE8"/>
    <w:rsid w:val="00C66048"/>
    <w:rsid w:val="00C7251E"/>
    <w:rsid w:val="00C7344B"/>
    <w:rsid w:val="00C76D56"/>
    <w:rsid w:val="00CB0960"/>
    <w:rsid w:val="00CB1489"/>
    <w:rsid w:val="00CC6FC9"/>
    <w:rsid w:val="00CC7791"/>
    <w:rsid w:val="00CD4BC5"/>
    <w:rsid w:val="00CD4F75"/>
    <w:rsid w:val="00CD65AC"/>
    <w:rsid w:val="00CE76EE"/>
    <w:rsid w:val="00D01A87"/>
    <w:rsid w:val="00D01B5D"/>
    <w:rsid w:val="00D11F02"/>
    <w:rsid w:val="00D13529"/>
    <w:rsid w:val="00D149FC"/>
    <w:rsid w:val="00D26BE0"/>
    <w:rsid w:val="00D537A7"/>
    <w:rsid w:val="00D57D51"/>
    <w:rsid w:val="00D61483"/>
    <w:rsid w:val="00D64DEB"/>
    <w:rsid w:val="00D67915"/>
    <w:rsid w:val="00D81C27"/>
    <w:rsid w:val="00D82C62"/>
    <w:rsid w:val="00D904C8"/>
    <w:rsid w:val="00D913D5"/>
    <w:rsid w:val="00D91CD1"/>
    <w:rsid w:val="00D92307"/>
    <w:rsid w:val="00D93EF7"/>
    <w:rsid w:val="00DB0658"/>
    <w:rsid w:val="00DB2DA1"/>
    <w:rsid w:val="00DC43ED"/>
    <w:rsid w:val="00DC595B"/>
    <w:rsid w:val="00DD49B9"/>
    <w:rsid w:val="00DD4D2A"/>
    <w:rsid w:val="00DE52BC"/>
    <w:rsid w:val="00DF6EAF"/>
    <w:rsid w:val="00E007D4"/>
    <w:rsid w:val="00E034FE"/>
    <w:rsid w:val="00E054E4"/>
    <w:rsid w:val="00E1094D"/>
    <w:rsid w:val="00E10B3A"/>
    <w:rsid w:val="00E2721D"/>
    <w:rsid w:val="00E3374A"/>
    <w:rsid w:val="00E341CC"/>
    <w:rsid w:val="00E5730A"/>
    <w:rsid w:val="00E7651A"/>
    <w:rsid w:val="00E81479"/>
    <w:rsid w:val="00E8430D"/>
    <w:rsid w:val="00E91DC6"/>
    <w:rsid w:val="00E949C3"/>
    <w:rsid w:val="00E96849"/>
    <w:rsid w:val="00E9730F"/>
    <w:rsid w:val="00EA34AF"/>
    <w:rsid w:val="00EB1FFC"/>
    <w:rsid w:val="00EC217E"/>
    <w:rsid w:val="00ED372D"/>
    <w:rsid w:val="00EE2241"/>
    <w:rsid w:val="00EE4F78"/>
    <w:rsid w:val="00EE6D38"/>
    <w:rsid w:val="00EF101E"/>
    <w:rsid w:val="00EF6F0E"/>
    <w:rsid w:val="00EF75A5"/>
    <w:rsid w:val="00F03917"/>
    <w:rsid w:val="00F05BC8"/>
    <w:rsid w:val="00F07254"/>
    <w:rsid w:val="00F12AAB"/>
    <w:rsid w:val="00F27976"/>
    <w:rsid w:val="00F304B5"/>
    <w:rsid w:val="00F33BD9"/>
    <w:rsid w:val="00F3684E"/>
    <w:rsid w:val="00F37F6D"/>
    <w:rsid w:val="00F45BCF"/>
    <w:rsid w:val="00F4708C"/>
    <w:rsid w:val="00F47621"/>
    <w:rsid w:val="00F47A72"/>
    <w:rsid w:val="00F52F06"/>
    <w:rsid w:val="00F60709"/>
    <w:rsid w:val="00F723F7"/>
    <w:rsid w:val="00F762AB"/>
    <w:rsid w:val="00F82DCA"/>
    <w:rsid w:val="00F8542D"/>
    <w:rsid w:val="00F92943"/>
    <w:rsid w:val="00FA354C"/>
    <w:rsid w:val="00FA354E"/>
    <w:rsid w:val="00FA448D"/>
    <w:rsid w:val="00FA7556"/>
    <w:rsid w:val="00FC2A83"/>
    <w:rsid w:val="00FC605C"/>
    <w:rsid w:val="00FC6BB0"/>
    <w:rsid w:val="00FD1A5E"/>
    <w:rsid w:val="00FD4344"/>
    <w:rsid w:val="00FE0963"/>
    <w:rsid w:val="00FE7047"/>
    <w:rsid w:val="00FF26B3"/>
    <w:rsid w:val="00FF76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character" w:styleId="Uwydatnienie">
    <w:name w:val="Emphasis"/>
    <w:basedOn w:val="Domylnaczcionkaakapitu"/>
    <w:uiPriority w:val="20"/>
    <w:qFormat/>
    <w:rsid w:val="00FD1A5E"/>
    <w:rPr>
      <w:i/>
      <w:iCs/>
    </w:rPr>
  </w:style>
  <w:style w:type="paragraph" w:styleId="NormalnyWeb">
    <w:name w:val="Normal (Web)"/>
    <w:basedOn w:val="Normalny"/>
    <w:uiPriority w:val="99"/>
    <w:semiHidden/>
    <w:unhideWhenUsed/>
    <w:rsid w:val="00EF101E"/>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045A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5ABE"/>
    <w:rPr>
      <w:rFonts w:ascii="Arial" w:hAnsi="Arial"/>
      <w:sz w:val="20"/>
      <w:szCs w:val="20"/>
    </w:rPr>
  </w:style>
  <w:style w:type="character" w:styleId="Odwoanieprzypisukocowego">
    <w:name w:val="endnote reference"/>
    <w:basedOn w:val="Domylnaczcionkaakapitu"/>
    <w:uiPriority w:val="99"/>
    <w:semiHidden/>
    <w:unhideWhenUsed/>
    <w:rsid w:val="00045ABE"/>
    <w:rPr>
      <w:vertAlign w:val="superscript"/>
    </w:rPr>
  </w:style>
  <w:style w:type="character" w:styleId="UyteHipercze">
    <w:name w:val="FollowedHyperlink"/>
    <w:basedOn w:val="Domylnaczcionkaakapitu"/>
    <w:uiPriority w:val="99"/>
    <w:semiHidden/>
    <w:unhideWhenUsed/>
    <w:rsid w:val="004628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3589">
      <w:bodyDiv w:val="1"/>
      <w:marLeft w:val="0"/>
      <w:marRight w:val="0"/>
      <w:marTop w:val="0"/>
      <w:marBottom w:val="0"/>
      <w:divBdr>
        <w:top w:val="none" w:sz="0" w:space="0" w:color="auto"/>
        <w:left w:val="none" w:sz="0" w:space="0" w:color="auto"/>
        <w:bottom w:val="none" w:sz="0" w:space="0" w:color="auto"/>
        <w:right w:val="none" w:sz="0" w:space="0" w:color="auto"/>
      </w:divBdr>
    </w:div>
    <w:div w:id="71855286">
      <w:bodyDiv w:val="1"/>
      <w:marLeft w:val="0"/>
      <w:marRight w:val="0"/>
      <w:marTop w:val="0"/>
      <w:marBottom w:val="0"/>
      <w:divBdr>
        <w:top w:val="none" w:sz="0" w:space="0" w:color="auto"/>
        <w:left w:val="none" w:sz="0" w:space="0" w:color="auto"/>
        <w:bottom w:val="none" w:sz="0" w:space="0" w:color="auto"/>
        <w:right w:val="none" w:sz="0" w:space="0" w:color="auto"/>
      </w:divBdr>
    </w:div>
    <w:div w:id="285548334">
      <w:bodyDiv w:val="1"/>
      <w:marLeft w:val="0"/>
      <w:marRight w:val="0"/>
      <w:marTop w:val="0"/>
      <w:marBottom w:val="0"/>
      <w:divBdr>
        <w:top w:val="none" w:sz="0" w:space="0" w:color="auto"/>
        <w:left w:val="none" w:sz="0" w:space="0" w:color="auto"/>
        <w:bottom w:val="none" w:sz="0" w:space="0" w:color="auto"/>
        <w:right w:val="none" w:sz="0" w:space="0" w:color="auto"/>
      </w:divBdr>
    </w:div>
    <w:div w:id="310254130">
      <w:bodyDiv w:val="1"/>
      <w:marLeft w:val="0"/>
      <w:marRight w:val="0"/>
      <w:marTop w:val="0"/>
      <w:marBottom w:val="0"/>
      <w:divBdr>
        <w:top w:val="none" w:sz="0" w:space="0" w:color="auto"/>
        <w:left w:val="none" w:sz="0" w:space="0" w:color="auto"/>
        <w:bottom w:val="none" w:sz="0" w:space="0" w:color="auto"/>
        <w:right w:val="none" w:sz="0" w:space="0" w:color="auto"/>
      </w:divBdr>
    </w:div>
    <w:div w:id="313529289">
      <w:bodyDiv w:val="1"/>
      <w:marLeft w:val="0"/>
      <w:marRight w:val="0"/>
      <w:marTop w:val="0"/>
      <w:marBottom w:val="0"/>
      <w:divBdr>
        <w:top w:val="none" w:sz="0" w:space="0" w:color="auto"/>
        <w:left w:val="none" w:sz="0" w:space="0" w:color="auto"/>
        <w:bottom w:val="none" w:sz="0" w:space="0" w:color="auto"/>
        <w:right w:val="none" w:sz="0" w:space="0" w:color="auto"/>
      </w:divBdr>
    </w:div>
    <w:div w:id="389035634">
      <w:bodyDiv w:val="1"/>
      <w:marLeft w:val="0"/>
      <w:marRight w:val="0"/>
      <w:marTop w:val="0"/>
      <w:marBottom w:val="0"/>
      <w:divBdr>
        <w:top w:val="none" w:sz="0" w:space="0" w:color="auto"/>
        <w:left w:val="none" w:sz="0" w:space="0" w:color="auto"/>
        <w:bottom w:val="none" w:sz="0" w:space="0" w:color="auto"/>
        <w:right w:val="none" w:sz="0" w:space="0" w:color="auto"/>
      </w:divBdr>
    </w:div>
    <w:div w:id="483354458">
      <w:bodyDiv w:val="1"/>
      <w:marLeft w:val="0"/>
      <w:marRight w:val="0"/>
      <w:marTop w:val="0"/>
      <w:marBottom w:val="0"/>
      <w:divBdr>
        <w:top w:val="none" w:sz="0" w:space="0" w:color="auto"/>
        <w:left w:val="none" w:sz="0" w:space="0" w:color="auto"/>
        <w:bottom w:val="none" w:sz="0" w:space="0" w:color="auto"/>
        <w:right w:val="none" w:sz="0" w:space="0" w:color="auto"/>
      </w:divBdr>
    </w:div>
    <w:div w:id="834881707">
      <w:bodyDiv w:val="1"/>
      <w:marLeft w:val="0"/>
      <w:marRight w:val="0"/>
      <w:marTop w:val="0"/>
      <w:marBottom w:val="0"/>
      <w:divBdr>
        <w:top w:val="none" w:sz="0" w:space="0" w:color="auto"/>
        <w:left w:val="none" w:sz="0" w:space="0" w:color="auto"/>
        <w:bottom w:val="none" w:sz="0" w:space="0" w:color="auto"/>
        <w:right w:val="none" w:sz="0" w:space="0" w:color="auto"/>
      </w:divBdr>
    </w:div>
    <w:div w:id="969552122">
      <w:bodyDiv w:val="1"/>
      <w:marLeft w:val="0"/>
      <w:marRight w:val="0"/>
      <w:marTop w:val="0"/>
      <w:marBottom w:val="0"/>
      <w:divBdr>
        <w:top w:val="none" w:sz="0" w:space="0" w:color="auto"/>
        <w:left w:val="none" w:sz="0" w:space="0" w:color="auto"/>
        <w:bottom w:val="none" w:sz="0" w:space="0" w:color="auto"/>
        <w:right w:val="none" w:sz="0" w:space="0" w:color="auto"/>
      </w:divBdr>
    </w:div>
    <w:div w:id="1110466714">
      <w:bodyDiv w:val="1"/>
      <w:marLeft w:val="0"/>
      <w:marRight w:val="0"/>
      <w:marTop w:val="0"/>
      <w:marBottom w:val="0"/>
      <w:divBdr>
        <w:top w:val="none" w:sz="0" w:space="0" w:color="auto"/>
        <w:left w:val="none" w:sz="0" w:space="0" w:color="auto"/>
        <w:bottom w:val="none" w:sz="0" w:space="0" w:color="auto"/>
        <w:right w:val="none" w:sz="0" w:space="0" w:color="auto"/>
      </w:divBdr>
    </w:div>
    <w:div w:id="1121533720">
      <w:bodyDiv w:val="1"/>
      <w:marLeft w:val="0"/>
      <w:marRight w:val="0"/>
      <w:marTop w:val="0"/>
      <w:marBottom w:val="0"/>
      <w:divBdr>
        <w:top w:val="none" w:sz="0" w:space="0" w:color="auto"/>
        <w:left w:val="none" w:sz="0" w:space="0" w:color="auto"/>
        <w:bottom w:val="none" w:sz="0" w:space="0" w:color="auto"/>
        <w:right w:val="none" w:sz="0" w:space="0" w:color="auto"/>
      </w:divBdr>
    </w:div>
    <w:div w:id="1140340797">
      <w:bodyDiv w:val="1"/>
      <w:marLeft w:val="0"/>
      <w:marRight w:val="0"/>
      <w:marTop w:val="0"/>
      <w:marBottom w:val="0"/>
      <w:divBdr>
        <w:top w:val="none" w:sz="0" w:space="0" w:color="auto"/>
        <w:left w:val="none" w:sz="0" w:space="0" w:color="auto"/>
        <w:bottom w:val="none" w:sz="0" w:space="0" w:color="auto"/>
        <w:right w:val="none" w:sz="0" w:space="0" w:color="auto"/>
      </w:divBdr>
    </w:div>
    <w:div w:id="1149519735">
      <w:bodyDiv w:val="1"/>
      <w:marLeft w:val="0"/>
      <w:marRight w:val="0"/>
      <w:marTop w:val="0"/>
      <w:marBottom w:val="0"/>
      <w:divBdr>
        <w:top w:val="none" w:sz="0" w:space="0" w:color="auto"/>
        <w:left w:val="none" w:sz="0" w:space="0" w:color="auto"/>
        <w:bottom w:val="none" w:sz="0" w:space="0" w:color="auto"/>
        <w:right w:val="none" w:sz="0" w:space="0" w:color="auto"/>
      </w:divBdr>
    </w:div>
    <w:div w:id="1191071379">
      <w:bodyDiv w:val="1"/>
      <w:marLeft w:val="0"/>
      <w:marRight w:val="0"/>
      <w:marTop w:val="0"/>
      <w:marBottom w:val="0"/>
      <w:divBdr>
        <w:top w:val="none" w:sz="0" w:space="0" w:color="auto"/>
        <w:left w:val="none" w:sz="0" w:space="0" w:color="auto"/>
        <w:bottom w:val="none" w:sz="0" w:space="0" w:color="auto"/>
        <w:right w:val="none" w:sz="0" w:space="0" w:color="auto"/>
      </w:divBdr>
    </w:div>
    <w:div w:id="1567378194">
      <w:bodyDiv w:val="1"/>
      <w:marLeft w:val="0"/>
      <w:marRight w:val="0"/>
      <w:marTop w:val="0"/>
      <w:marBottom w:val="0"/>
      <w:divBdr>
        <w:top w:val="none" w:sz="0" w:space="0" w:color="auto"/>
        <w:left w:val="none" w:sz="0" w:space="0" w:color="auto"/>
        <w:bottom w:val="none" w:sz="0" w:space="0" w:color="auto"/>
        <w:right w:val="none" w:sz="0" w:space="0" w:color="auto"/>
      </w:divBdr>
    </w:div>
    <w:div w:id="1633368865">
      <w:bodyDiv w:val="1"/>
      <w:marLeft w:val="0"/>
      <w:marRight w:val="0"/>
      <w:marTop w:val="0"/>
      <w:marBottom w:val="0"/>
      <w:divBdr>
        <w:top w:val="none" w:sz="0" w:space="0" w:color="auto"/>
        <w:left w:val="none" w:sz="0" w:space="0" w:color="auto"/>
        <w:bottom w:val="none" w:sz="0" w:space="0" w:color="auto"/>
        <w:right w:val="none" w:sz="0" w:space="0" w:color="auto"/>
      </w:divBdr>
    </w:div>
    <w:div w:id="1807042509">
      <w:bodyDiv w:val="1"/>
      <w:marLeft w:val="0"/>
      <w:marRight w:val="0"/>
      <w:marTop w:val="0"/>
      <w:marBottom w:val="0"/>
      <w:divBdr>
        <w:top w:val="none" w:sz="0" w:space="0" w:color="auto"/>
        <w:left w:val="none" w:sz="0" w:space="0" w:color="auto"/>
        <w:bottom w:val="none" w:sz="0" w:space="0" w:color="auto"/>
        <w:right w:val="none" w:sz="0" w:space="0" w:color="auto"/>
      </w:divBdr>
    </w:div>
    <w:div w:id="1830707610">
      <w:bodyDiv w:val="1"/>
      <w:marLeft w:val="0"/>
      <w:marRight w:val="0"/>
      <w:marTop w:val="0"/>
      <w:marBottom w:val="0"/>
      <w:divBdr>
        <w:top w:val="none" w:sz="0" w:space="0" w:color="auto"/>
        <w:left w:val="none" w:sz="0" w:space="0" w:color="auto"/>
        <w:bottom w:val="none" w:sz="0" w:space="0" w:color="auto"/>
        <w:right w:val="none" w:sz="0" w:space="0" w:color="auto"/>
      </w:divBdr>
    </w:div>
    <w:div w:id="194546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k-sa.pl/program-kolej-pl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EFA9F-5C3C-484B-BF4B-6B83F9892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4260</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Kolej Plus – nowe połączenia i lepsze podróże w województwie śląskim</vt:lpstr>
    </vt:vector>
  </TitlesOfParts>
  <Company>PKP PLK S.A.</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Kolej Plus – nowe połączenia i lepsze podróże w województwie śląskim</dc:title>
  <dc:subject/>
  <dc:creator>PKP Polskie Linie Kolejowe S.A.</dc:creator>
  <cp:keywords/>
  <dc:description/>
  <cp:lastModifiedBy>Dudzińska Maria</cp:lastModifiedBy>
  <cp:revision>2</cp:revision>
  <cp:lastPrinted>2022-05-31T09:02:00Z</cp:lastPrinted>
  <dcterms:created xsi:type="dcterms:W3CDTF">2023-01-21T07:56:00Z</dcterms:created>
  <dcterms:modified xsi:type="dcterms:W3CDTF">2023-01-21T07:56:00Z</dcterms:modified>
</cp:coreProperties>
</file>