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AD180" w14:textId="77777777" w:rsidR="0063625B" w:rsidRPr="00C708B4" w:rsidRDefault="0063625B" w:rsidP="009D1AEB">
      <w:pPr>
        <w:jc w:val="right"/>
        <w:rPr>
          <w:rFonts w:cs="Arial"/>
        </w:rPr>
      </w:pPr>
    </w:p>
    <w:p w14:paraId="05A3DC64" w14:textId="77777777" w:rsidR="0063625B" w:rsidRPr="00C708B4" w:rsidRDefault="0063625B" w:rsidP="009D1AEB">
      <w:pPr>
        <w:jc w:val="right"/>
        <w:rPr>
          <w:rFonts w:cs="Arial"/>
        </w:rPr>
      </w:pPr>
    </w:p>
    <w:p w14:paraId="7A4AA757" w14:textId="77777777" w:rsidR="0063625B" w:rsidRPr="00C708B4" w:rsidRDefault="0063625B" w:rsidP="009D1AEB">
      <w:pPr>
        <w:jc w:val="right"/>
        <w:rPr>
          <w:rFonts w:cs="Arial"/>
        </w:rPr>
      </w:pPr>
    </w:p>
    <w:p w14:paraId="11F978D5" w14:textId="77777777" w:rsidR="001770CA" w:rsidRPr="001770CA" w:rsidRDefault="001770CA" w:rsidP="001770CA">
      <w:pPr>
        <w:rPr>
          <w:rFonts w:cs="Arial"/>
        </w:rPr>
      </w:pPr>
    </w:p>
    <w:p w14:paraId="6FCF18E1" w14:textId="635421B7" w:rsidR="001770CA" w:rsidRPr="008320E2" w:rsidRDefault="001770CA" w:rsidP="008320E2">
      <w:pPr>
        <w:jc w:val="right"/>
        <w:rPr>
          <w:rFonts w:cs="Arial"/>
        </w:rPr>
      </w:pPr>
      <w:r w:rsidRPr="001770CA">
        <w:rPr>
          <w:rFonts w:cs="Arial"/>
        </w:rPr>
        <w:t>Warszawa, 20 grudnia 2021 r.</w:t>
      </w:r>
      <w:bookmarkStart w:id="0" w:name="_GoBack"/>
      <w:bookmarkEnd w:id="0"/>
    </w:p>
    <w:p w14:paraId="76FA5BB5" w14:textId="77777777" w:rsidR="001770CA" w:rsidRPr="001770CA" w:rsidRDefault="001770CA" w:rsidP="001770CA">
      <w:pPr>
        <w:keepNext/>
        <w:keepLines/>
        <w:shd w:val="clear" w:color="auto" w:fill="FFFFFF"/>
        <w:spacing w:before="240" w:after="240" w:line="360" w:lineRule="auto"/>
        <w:outlineLvl w:val="0"/>
        <w:rPr>
          <w:rFonts w:ascii="Times New Roman" w:eastAsiaTheme="majorEastAsia" w:hAnsi="Times New Roman" w:cstheme="majorBidi"/>
          <w:b/>
          <w:color w:val="1A1A1A"/>
          <w:sz w:val="24"/>
          <w:szCs w:val="32"/>
        </w:rPr>
      </w:pPr>
      <w:r w:rsidRPr="001770CA">
        <w:rPr>
          <w:rFonts w:eastAsiaTheme="majorEastAsia" w:cstheme="majorBidi"/>
          <w:b/>
        </w:rPr>
        <w:t>Kolej na innowacje! PLK i NCBR ogłosiły II konkurs na projekty badawczo-rozwojowe</w:t>
      </w:r>
    </w:p>
    <w:p w14:paraId="7D9D2536" w14:textId="002321DB" w:rsidR="001770CA" w:rsidRPr="001770CA" w:rsidRDefault="001770CA" w:rsidP="001770CA">
      <w:pPr>
        <w:spacing w:line="360" w:lineRule="auto"/>
        <w:rPr>
          <w:b/>
        </w:rPr>
      </w:pPr>
      <w:r w:rsidRPr="001770CA">
        <w:rPr>
          <w:b/>
        </w:rPr>
        <w:t xml:space="preserve">PKP Polskie Linie Kolejowe S.A. i Narodowe Centrum Badań i Rozwoju ogłosiły II konkurs na projekty badawczo-rozwojowe w ramach Wspólnego Przedsięwzięcia BRIK </w:t>
      </w:r>
      <w:r w:rsidR="008320E2">
        <w:rPr>
          <w:b/>
        </w:rPr>
        <w:t>–</w:t>
      </w:r>
      <w:r w:rsidRPr="001770CA">
        <w:rPr>
          <w:b/>
        </w:rPr>
        <w:t xml:space="preserve"> Badania i Rozwój w Infrastrukturze Kolejowej. Będą</w:t>
      </w:r>
      <w:r w:rsidRPr="001770CA">
        <w:rPr>
          <w:rFonts w:cs="Arial"/>
          <w:b/>
        </w:rPr>
        <w:t xml:space="preserve"> poszukiwać nowych możliwości rozwoju innowacji w branży kolejowej w obszarach: bezpieczeństwo ruchu kolejowego, efektywność energetyczna, ekologia i usprawnienie procesu diagnostyki infrastruktury. Na wsparcie projektów w konkursie zaplanowano 50 mln zł.</w:t>
      </w:r>
    </w:p>
    <w:p w14:paraId="10A98F91" w14:textId="77777777" w:rsidR="001770CA" w:rsidRPr="001770CA" w:rsidRDefault="001770CA" w:rsidP="001770CA">
      <w:pPr>
        <w:tabs>
          <w:tab w:val="num" w:pos="720"/>
        </w:tabs>
        <w:spacing w:before="100" w:beforeAutospacing="1" w:after="100" w:afterAutospacing="1" w:line="360" w:lineRule="auto"/>
        <w:rPr>
          <w:bCs/>
        </w:rPr>
      </w:pPr>
      <w:r w:rsidRPr="001770CA">
        <w:t xml:space="preserve">Celem działań jest wzrost innowacyjności i konkurencyjności transportu kolejowego. Efektem programu ma być opracowanie nowoczesnych rozwiązań, które usprawnią proces utrzymania infrastruktury kolejowej, poprawią poziom bezpieczeństwa ruchu kolejowego, zwiększą efektywność energetyczną i ekologiczny charakter kolei. </w:t>
      </w:r>
      <w:r w:rsidRPr="001770CA">
        <w:rPr>
          <w:rFonts w:cstheme="minorHAnsi"/>
        </w:rPr>
        <w:t>N</w:t>
      </w:r>
      <w:r w:rsidRPr="001770CA">
        <w:rPr>
          <w:bCs/>
        </w:rPr>
        <w:t xml:space="preserve">a wsparcie projektów w konkursie przeznaczono łącznie 50 mln zł (po 25 mln zł od każdego z partnerów).  </w:t>
      </w:r>
    </w:p>
    <w:p w14:paraId="53F56665" w14:textId="77777777" w:rsidR="001770CA" w:rsidRPr="001770CA" w:rsidRDefault="001770CA" w:rsidP="001770CA">
      <w:pPr>
        <w:spacing w:before="100" w:beforeAutospacing="1" w:after="100" w:afterAutospacing="1" w:line="360" w:lineRule="auto"/>
        <w:rPr>
          <w:rFonts w:cs="Arial"/>
          <w:b/>
          <w:i/>
        </w:rPr>
      </w:pPr>
      <w:r w:rsidRPr="001770CA">
        <w:rPr>
          <w:rFonts w:cs="Arial"/>
          <w:b/>
          <w:i/>
        </w:rPr>
        <w:t xml:space="preserve">– </w:t>
      </w:r>
      <w:r w:rsidRPr="001770CA">
        <w:rPr>
          <w:rFonts w:cs="Arial"/>
          <w:b/>
          <w:i/>
          <w:color w:val="FF0000"/>
        </w:rPr>
        <w:t xml:space="preserve"> </w:t>
      </w:r>
      <w:r w:rsidRPr="001770CA">
        <w:rPr>
          <w:rFonts w:cs="Arial"/>
          <w:i/>
        </w:rPr>
        <w:t xml:space="preserve">Modernizujemy linie kolejowe i szukamy innowacji technologicznych, aby kolej była bezpieczna, coraz bardziej atrakcyjna dla pasażera i przedsiębiorcy i przyjazna dla środowiska. Program realizowany wspólnie z Narodowym Centrum Badań i Rozwoju daje szansę na wdrożenie nowatorskich rozwiązań na sieci kolejowej w obszarze bezpieczeństwa, utrzymania i eksploatacji linii kolejowych oraz ekologii. To uzupełnienie prowadzonych na szeroką skalę prac, które zmieniają kolej na lepsze  </w:t>
      </w:r>
      <w:r w:rsidRPr="001770CA">
        <w:rPr>
          <w:rFonts w:cs="Arial"/>
          <w:b/>
        </w:rPr>
        <w:t>– powiedział Ireneusz Merchel, prezes Zarządu PKP Polskich Linii Kolejowych S.A.</w:t>
      </w:r>
      <w:r w:rsidRPr="001770CA">
        <w:rPr>
          <w:rFonts w:cs="Arial"/>
          <w:b/>
          <w:i/>
        </w:rPr>
        <w:t xml:space="preserve">  </w:t>
      </w:r>
    </w:p>
    <w:p w14:paraId="08661DCA" w14:textId="13BAA8D6" w:rsidR="001770CA" w:rsidRPr="001770CA" w:rsidRDefault="008320E2" w:rsidP="001770CA">
      <w:pPr>
        <w:spacing w:before="100" w:beforeAutospacing="1" w:after="100" w:afterAutospacing="1" w:line="360" w:lineRule="auto"/>
        <w:rPr>
          <w:rFonts w:cs="Arial"/>
          <w:b/>
          <w:i/>
        </w:rPr>
      </w:pPr>
      <w:r w:rsidRPr="001770CA">
        <w:rPr>
          <w:rFonts w:cs="Arial"/>
          <w:b/>
          <w:i/>
        </w:rPr>
        <w:t>–</w:t>
      </w:r>
      <w:r w:rsidR="001770CA" w:rsidRPr="001770CA">
        <w:rPr>
          <w:rFonts w:cs="Arial"/>
          <w:i/>
        </w:rPr>
        <w:t xml:space="preserve"> Kolejnictwo to strategiczny obszar funkcjonowania państwa i znajduje to odzwierciedlenie w ofercie programowej NCBR. 28 stycznia ruszy nabór w II konkursie BRIK. Wspólnie z naszym partnerem w tym konkursie, którym </w:t>
      </w:r>
      <w:r>
        <w:rPr>
          <w:rFonts w:cs="Arial"/>
          <w:i/>
        </w:rPr>
        <w:t>są</w:t>
      </w:r>
      <w:r w:rsidR="001770CA" w:rsidRPr="001770CA">
        <w:rPr>
          <w:rFonts w:cs="Arial"/>
          <w:i/>
        </w:rPr>
        <w:t xml:space="preserve"> PKP Polskie Linie Kolejowe S.A., wesprzemy rozwój nowych technologii odpowiadających na potrzeby branży, takich które wpłyną również na poprawę komfortu pasażerów. Liczymy, że dzięki realizacji tego konkursu powstaną innowacje zwiększające bezpieczeństwo ruchu kolejowego, efektywność energetyczną i usprawniające procesy oceny jakości infrastruktury kolejowej</w:t>
      </w:r>
      <w:r w:rsidR="001770CA" w:rsidRPr="001770CA">
        <w:rPr>
          <w:rFonts w:cs="Arial"/>
          <w:b/>
          <w:i/>
        </w:rPr>
        <w:t xml:space="preserve"> – powiedział dr inż. Wojciech Kamieniecki, dyrektor Narodowego Centrum Badań i Rozwoju.</w:t>
      </w:r>
    </w:p>
    <w:p w14:paraId="509193D7" w14:textId="24B4E641" w:rsidR="001770CA" w:rsidRPr="001770CA" w:rsidRDefault="001770CA" w:rsidP="001770CA">
      <w:pPr>
        <w:spacing w:before="100" w:beforeAutospacing="1" w:after="100" w:afterAutospacing="1" w:line="360" w:lineRule="auto"/>
        <w:rPr>
          <w:rFonts w:cstheme="minorHAnsi"/>
        </w:rPr>
      </w:pPr>
      <w:r w:rsidRPr="001770CA">
        <w:rPr>
          <w:rFonts w:cs="Arial"/>
          <w:b/>
        </w:rPr>
        <w:lastRenderedPageBreak/>
        <w:t>Program jest dedykowany jednostkom naukowym oraz firmom z branży kolejowej.</w:t>
      </w:r>
      <w:r w:rsidRPr="001770CA">
        <w:rPr>
          <w:rFonts w:cs="Arial"/>
        </w:rPr>
        <w:t xml:space="preserve"> </w:t>
      </w:r>
      <w:r w:rsidRPr="001770CA">
        <w:rPr>
          <w:bCs/>
        </w:rPr>
        <w:t xml:space="preserve">Nabór wniosków będzie trwał od 28 stycznia </w:t>
      </w:r>
      <w:r w:rsidRPr="008320E2">
        <w:rPr>
          <w:bCs/>
        </w:rPr>
        <w:t>2022 r. do 31 marca 2022 r. (do godziny 16:00).</w:t>
      </w:r>
      <w:r w:rsidRPr="008320E2">
        <w:rPr>
          <w:rFonts w:cstheme="minorHAnsi"/>
        </w:rPr>
        <w:t xml:space="preserve"> </w:t>
      </w:r>
      <w:r w:rsidRPr="008320E2">
        <w:rPr>
          <w:bCs/>
        </w:rPr>
        <w:t xml:space="preserve">Szczegółowe informacje, w tym regulamin konkursu oraz wzór wniosku o dofinansowanie są dostępne na stronie internetowej </w:t>
      </w:r>
      <w:hyperlink r:id="rId8" w:tooltip="link do strony konkursu na portalu gov.pl" w:history="1">
        <w:r w:rsidRPr="008320E2">
          <w:rPr>
            <w:bCs/>
            <w:u w:val="single"/>
          </w:rPr>
          <w:t>https://www.gov.pl/web/ncbr/brik-ii</w:t>
        </w:r>
      </w:hyperlink>
      <w:r w:rsidR="008320E2" w:rsidRPr="008320E2">
        <w:rPr>
          <w:bCs/>
          <w:u w:val="single"/>
        </w:rPr>
        <w:t>.</w:t>
      </w:r>
    </w:p>
    <w:p w14:paraId="7BE1878D" w14:textId="77777777" w:rsidR="001770CA" w:rsidRPr="001770CA" w:rsidRDefault="001770CA" w:rsidP="008320E2">
      <w:pPr>
        <w:pStyle w:val="Nagwek2"/>
      </w:pPr>
      <w:r w:rsidRPr="001770CA">
        <w:t>Kolej na bezpieczeństwo, ekologię i monitoring sieci kolejowej w konkursie BRIK II</w:t>
      </w:r>
    </w:p>
    <w:p w14:paraId="161A345F" w14:textId="77777777" w:rsidR="001770CA" w:rsidRPr="001770CA" w:rsidRDefault="001770CA" w:rsidP="001770CA">
      <w:pPr>
        <w:shd w:val="clear" w:color="auto" w:fill="FFFFFF"/>
        <w:spacing w:before="100" w:beforeAutospacing="1" w:after="100" w:afterAutospacing="1" w:line="360" w:lineRule="auto"/>
        <w:rPr>
          <w:rFonts w:ascii="Times New Roman" w:eastAsia="Times New Roman" w:hAnsi="Times New Roman" w:cs="Arial"/>
          <w:lang w:eastAsia="pl-PL"/>
        </w:rPr>
      </w:pPr>
      <w:r w:rsidRPr="001770CA">
        <w:rPr>
          <w:rFonts w:eastAsia="Times New Roman" w:cs="Arial"/>
          <w:bCs/>
          <w:lang w:eastAsia="pl-PL"/>
        </w:rPr>
        <w:t xml:space="preserve">Wśród tematów </w:t>
      </w:r>
      <w:r w:rsidRPr="001770CA">
        <w:rPr>
          <w:rFonts w:eastAsia="Times New Roman" w:cs="Arial"/>
          <w:b/>
          <w:bCs/>
          <w:lang w:eastAsia="pl-PL"/>
        </w:rPr>
        <w:t>związanych z</w:t>
      </w:r>
      <w:r w:rsidRPr="001770CA">
        <w:rPr>
          <w:rFonts w:eastAsia="Times New Roman" w:cs="Arial"/>
          <w:bCs/>
          <w:lang w:eastAsia="pl-PL"/>
        </w:rPr>
        <w:t xml:space="preserve"> </w:t>
      </w:r>
      <w:r w:rsidRPr="001770CA">
        <w:rPr>
          <w:rFonts w:eastAsia="Times New Roman" w:cs="Arial"/>
          <w:b/>
          <w:lang w:eastAsia="pl-PL"/>
        </w:rPr>
        <w:t>podnoszeniem bezpieczeństwa na kolei</w:t>
      </w:r>
      <w:r w:rsidRPr="001770CA">
        <w:rPr>
          <w:rFonts w:eastAsia="Times New Roman" w:cs="Arial"/>
          <w:lang w:eastAsia="pl-PL"/>
        </w:rPr>
        <w:t xml:space="preserve"> </w:t>
      </w:r>
      <w:r w:rsidRPr="001770CA">
        <w:rPr>
          <w:rFonts w:eastAsia="Times New Roman" w:cs="Arial"/>
          <w:b/>
          <w:lang w:eastAsia="pl-PL"/>
        </w:rPr>
        <w:t>w ramach BRIK II</w:t>
      </w:r>
      <w:r w:rsidRPr="001770CA">
        <w:rPr>
          <w:rFonts w:eastAsia="Times New Roman" w:cs="Arial"/>
          <w:lang w:eastAsia="pl-PL"/>
        </w:rPr>
        <w:t xml:space="preserve"> planowane jest opracowanie innowacyjnego systemu ostrzegania, który z wyprzedzeniem będzie informował pracujących na torach o nadjeżdżającym pociągu i konieczności opuszczenia szlaku (załącznik pozycja nr 1). Przewidywane jest także opracowanie systemu wsparcia dyspozytora (2) w podejmowaniu decyzji w sytuacji kryzysowej o zmianie tras niektórych składów. Opracowana i przetestowana zostanie również metoda pozyskania informacji o środowisku naturalnym w sąsiedztwie linii kolejowych i ich wykorzystania (7) w celu rozwoju bezpieczeństwa ruchu pociągów.</w:t>
      </w:r>
    </w:p>
    <w:p w14:paraId="0657D5A4" w14:textId="77777777" w:rsidR="001770CA" w:rsidRPr="001770CA" w:rsidRDefault="001770CA" w:rsidP="001770CA">
      <w:pPr>
        <w:shd w:val="clear" w:color="auto" w:fill="FFFFFF"/>
        <w:spacing w:before="100" w:beforeAutospacing="1" w:after="100" w:afterAutospacing="1" w:line="360" w:lineRule="auto"/>
        <w:rPr>
          <w:rFonts w:eastAsia="Times New Roman" w:cs="Arial"/>
          <w:lang w:eastAsia="pl-PL"/>
        </w:rPr>
      </w:pPr>
      <w:r w:rsidRPr="001770CA">
        <w:rPr>
          <w:rFonts w:eastAsia="Times New Roman" w:cs="Arial"/>
          <w:b/>
          <w:lang w:eastAsia="pl-PL"/>
        </w:rPr>
        <w:t>W obszarze poprawy efektywności energetycznej</w:t>
      </w:r>
      <w:r w:rsidRPr="001770CA">
        <w:rPr>
          <w:rFonts w:eastAsia="Times New Roman" w:cs="Arial"/>
          <w:lang w:eastAsia="pl-PL"/>
        </w:rPr>
        <w:t>, zaplanowano opracowanie technologii i wdrożenie dwukierunkowych podstacji trakcyjnych i zasobników energii (3). Pozwolą one na rekuperację (odzyskanie) i zmniejszenie zużycia energii. W tej dziedzinie oczekiwane jest również rozwiązanie techniczne, które zmniejszy wykorzystanie energii przez urządzenia elektrycznego ogrzewania rozjazdów (EOR) (4).</w:t>
      </w:r>
    </w:p>
    <w:p w14:paraId="72AB9FBC" w14:textId="77777777" w:rsidR="001770CA" w:rsidRPr="001770CA" w:rsidRDefault="001770CA" w:rsidP="001770CA">
      <w:pPr>
        <w:shd w:val="clear" w:color="auto" w:fill="FFFFFF"/>
        <w:spacing w:before="100" w:beforeAutospacing="1" w:after="100" w:afterAutospacing="1" w:line="360" w:lineRule="auto"/>
        <w:rPr>
          <w:rFonts w:eastAsia="Times New Roman" w:cs="Arial"/>
          <w:lang w:eastAsia="pl-PL"/>
        </w:rPr>
      </w:pPr>
      <w:r w:rsidRPr="001770CA">
        <w:rPr>
          <w:rFonts w:eastAsia="Times New Roman" w:cs="Arial"/>
          <w:b/>
          <w:bCs/>
          <w:lang w:eastAsia="pl-PL"/>
        </w:rPr>
        <w:t xml:space="preserve">Rozwój proekologicznych rozwiązań </w:t>
      </w:r>
      <w:r w:rsidRPr="001770CA">
        <w:rPr>
          <w:rFonts w:eastAsia="Times New Roman" w:cs="Arial"/>
          <w:bCs/>
          <w:lang w:eastAsia="pl-PL"/>
        </w:rPr>
        <w:t>jest związany z analizą</w:t>
      </w:r>
      <w:r w:rsidRPr="001770CA">
        <w:rPr>
          <w:rFonts w:eastAsia="Times New Roman" w:cs="Arial"/>
          <w:lang w:eastAsia="pl-PL"/>
        </w:rPr>
        <w:t xml:space="preserve"> możliwości wykorzystania na terenie kolejowym technologii betonu fotokatalitycznego, który ma właściwości redukujące zanieczyszczenie powietrza (5). Planowane jest także opracowanie proekologicznej metody usuwania roślinności na liniach kolejowych (9). W obszarze przewiduje się także opracowanie systemu precyzyjnego monitorowania oraz przetwarzania informacji o danych ruchowych, technicznych i środowiskowych (8). </w:t>
      </w:r>
    </w:p>
    <w:p w14:paraId="3D1BE11D" w14:textId="77777777" w:rsidR="001770CA" w:rsidRPr="001770CA" w:rsidRDefault="001770CA" w:rsidP="001770CA">
      <w:pPr>
        <w:spacing w:before="100" w:beforeAutospacing="1" w:after="100" w:afterAutospacing="1" w:line="360" w:lineRule="auto"/>
        <w:rPr>
          <w:rFonts w:cs="Arial"/>
        </w:rPr>
      </w:pPr>
      <w:r w:rsidRPr="001770CA">
        <w:rPr>
          <w:rFonts w:cs="Arial"/>
          <w:b/>
        </w:rPr>
        <w:t>W obszarze usprawnienia procesu diagnostyki stanu technicznego infrastruktury,</w:t>
      </w:r>
      <w:r w:rsidRPr="001770CA">
        <w:rPr>
          <w:rFonts w:cs="Arial"/>
        </w:rPr>
        <w:t xml:space="preserve"> planowane jest opracowanie urządzenia, które umożliwi badania defektoskopowe szyn, tzn. wykrywające wady, podczas jazdy z prędkością 60-120 km/h (10). Do kompleksowego badania stanu szyn, w jednym z projektów planowane jest również wykorzystanie badań radiologicznych (11). Na styku działalności utrzymaniowej oraz inwestycyjnej znajduje się wykorzystanie danych uzyskanych z pomiarów wykonanych za pomocą skanera (6). Planowane jest także opracowanie innowacyjnego systemu monitorowania stanu infrastruktury kolejowej za pomocą dronów (12).</w:t>
      </w:r>
    </w:p>
    <w:p w14:paraId="7197EC13" w14:textId="77777777" w:rsidR="001770CA" w:rsidRPr="001770CA" w:rsidRDefault="001770CA" w:rsidP="001770CA">
      <w:pPr>
        <w:keepNext/>
        <w:keepLines/>
        <w:spacing w:before="160" w:after="120"/>
        <w:outlineLvl w:val="1"/>
        <w:rPr>
          <w:rFonts w:eastAsiaTheme="majorEastAsia" w:cs="Arial"/>
          <w:b/>
          <w:szCs w:val="26"/>
        </w:rPr>
      </w:pPr>
      <w:r w:rsidRPr="001770CA">
        <w:rPr>
          <w:rFonts w:eastAsiaTheme="majorEastAsia" w:cstheme="majorBidi"/>
          <w:b/>
        </w:rPr>
        <w:t>BRIK I – 10 innowacyjnych projektów w realizacji</w:t>
      </w:r>
    </w:p>
    <w:p w14:paraId="6C488D3C" w14:textId="77777777" w:rsidR="001770CA" w:rsidRPr="001770CA" w:rsidRDefault="001770CA" w:rsidP="001770CA">
      <w:pPr>
        <w:shd w:val="clear" w:color="auto" w:fill="FFFFFF"/>
        <w:spacing w:before="100" w:beforeAutospacing="1" w:after="100" w:afterAutospacing="1" w:line="360" w:lineRule="auto"/>
        <w:rPr>
          <w:rFonts w:eastAsia="Times New Roman" w:cs="Arial"/>
          <w:lang w:eastAsia="pl-PL"/>
        </w:rPr>
      </w:pPr>
      <w:r w:rsidRPr="001770CA">
        <w:rPr>
          <w:rFonts w:eastAsia="Times New Roman" w:cs="Arial"/>
          <w:lang w:eastAsia="pl-PL"/>
        </w:rPr>
        <w:t xml:space="preserve">Wśród 10 już realizowanych innowacyjnych projektów BRIK są m.in.: opracowanie oraz wdrożenie systemu pomiaru temperatury szyn kolejowych, opracowanie systemu zarządzania oświetleniem,  </w:t>
      </w:r>
      <w:r w:rsidRPr="001770CA">
        <w:rPr>
          <w:rFonts w:eastAsia="Times New Roman" w:cs="Arial"/>
          <w:lang w:eastAsia="pl-PL"/>
        </w:rPr>
        <w:lastRenderedPageBreak/>
        <w:t xml:space="preserve">czy rozwiązania antykradzieżowe sieci trakcyjnej lub umożliwiające zastosowanie paneli fotowoltaicznych na ekranach akustycznych. </w:t>
      </w:r>
    </w:p>
    <w:p w14:paraId="29F42122" w14:textId="15A7D99D" w:rsidR="008320E2" w:rsidRPr="008320E2" w:rsidRDefault="001770CA" w:rsidP="001770CA">
      <w:pPr>
        <w:spacing w:before="100" w:beforeAutospacing="1" w:after="100" w:afterAutospacing="1" w:line="360" w:lineRule="auto"/>
        <w:rPr>
          <w:rFonts w:cs="Arial"/>
          <w:bCs/>
        </w:rPr>
      </w:pPr>
      <w:r w:rsidRPr="001770CA">
        <w:rPr>
          <w:rFonts w:cs="Arial"/>
        </w:rPr>
        <w:t xml:space="preserve">PKP Polskie Linie Kolejowe S.A. i Narodowe Centrum Badań i Rozwoju w ramach </w:t>
      </w:r>
      <w:r w:rsidRPr="001770CA">
        <w:rPr>
          <w:rFonts w:cs="Arial"/>
          <w:i/>
        </w:rPr>
        <w:t>Wspólnego Przedsięwzięcia BRIK – Badania i Rozwój w Infrastrukturze Kolejowej</w:t>
      </w:r>
      <w:r w:rsidRPr="001770CA">
        <w:rPr>
          <w:rFonts w:cs="Arial"/>
        </w:rPr>
        <w:t xml:space="preserve"> na rozwój innowacji na kolei do 2033 r. przeznaczą łącznie 100 mln zł (po 50 mln od każdego z partnerów). </w:t>
      </w:r>
      <w:r w:rsidRPr="001770CA">
        <w:rPr>
          <w:rFonts w:cs="Arial"/>
          <w:bCs/>
        </w:rPr>
        <w:t>Konkurs BRIK I ze strony Narodowego Centrum Badań i Rozwoju finansowany jest z Programu Operacyjnego Inteligentny Rozwój. Finansowanie konkursu BRIK II zaplanowano w całości ze środków krajowych.</w:t>
      </w:r>
    </w:p>
    <w:p w14:paraId="10956CC5" w14:textId="4F7A82AE" w:rsidR="008320E2" w:rsidRPr="001770CA" w:rsidRDefault="001770CA" w:rsidP="001770CA">
      <w:pPr>
        <w:spacing w:after="0" w:line="240" w:lineRule="auto"/>
        <w:rPr>
          <w:rFonts w:cs="Arial"/>
          <w:b/>
          <w:bCs/>
          <w:sz w:val="20"/>
          <w:szCs w:val="20"/>
        </w:rPr>
      </w:pPr>
      <w:r w:rsidRPr="001770CA">
        <w:rPr>
          <w:rFonts w:cs="Arial"/>
          <w:b/>
          <w:bCs/>
          <w:sz w:val="20"/>
          <w:szCs w:val="20"/>
        </w:rPr>
        <w:t>Kontakt dla mediów:</w:t>
      </w:r>
    </w:p>
    <w:p w14:paraId="20E90DDB" w14:textId="77777777" w:rsidR="008320E2" w:rsidRPr="008320E2" w:rsidRDefault="008320E2" w:rsidP="001770CA">
      <w:pPr>
        <w:spacing w:after="0" w:line="240" w:lineRule="auto"/>
        <w:rPr>
          <w:rFonts w:cs="Arial"/>
          <w:b/>
          <w:sz w:val="20"/>
          <w:szCs w:val="20"/>
          <w:shd w:val="clear" w:color="auto" w:fill="FFFFFF"/>
        </w:rPr>
      </w:pPr>
      <w:r w:rsidRPr="008320E2">
        <w:rPr>
          <w:rFonts w:cs="Arial"/>
          <w:b/>
          <w:sz w:val="20"/>
          <w:szCs w:val="20"/>
          <w:shd w:val="clear" w:color="auto" w:fill="FFFFFF"/>
        </w:rPr>
        <w:t>PKP Polskie Linie Kolejowe S.A.</w:t>
      </w:r>
    </w:p>
    <w:p w14:paraId="53990B7D" w14:textId="54851578" w:rsidR="001770CA" w:rsidRPr="001770CA" w:rsidRDefault="001770CA" w:rsidP="001770CA">
      <w:pPr>
        <w:spacing w:after="0" w:line="240" w:lineRule="auto"/>
        <w:rPr>
          <w:rFonts w:cs="Arial"/>
          <w:b/>
          <w:bCs/>
          <w:sz w:val="20"/>
          <w:szCs w:val="20"/>
        </w:rPr>
      </w:pPr>
      <w:r w:rsidRPr="001770CA">
        <w:rPr>
          <w:rFonts w:cs="Arial"/>
          <w:sz w:val="20"/>
          <w:szCs w:val="20"/>
          <w:shd w:val="clear" w:color="auto" w:fill="FFFFFF"/>
        </w:rPr>
        <w:t>Magdalena Janus</w:t>
      </w:r>
      <w:r w:rsidRPr="001770CA">
        <w:rPr>
          <w:rFonts w:cs="Arial"/>
          <w:sz w:val="20"/>
          <w:szCs w:val="20"/>
        </w:rPr>
        <w:br/>
      </w:r>
      <w:r w:rsidRPr="001770CA">
        <w:rPr>
          <w:rFonts w:cs="Arial"/>
          <w:sz w:val="20"/>
          <w:szCs w:val="20"/>
          <w:shd w:val="clear" w:color="auto" w:fill="FFFFFF"/>
        </w:rPr>
        <w:t>zespół prasowy</w:t>
      </w:r>
    </w:p>
    <w:p w14:paraId="315A9B72" w14:textId="77777777" w:rsidR="001770CA" w:rsidRPr="001770CA" w:rsidRDefault="00AD7363" w:rsidP="001770CA">
      <w:pPr>
        <w:spacing w:after="0" w:line="240" w:lineRule="auto"/>
        <w:rPr>
          <w:rFonts w:cs="Arial"/>
          <w:sz w:val="20"/>
          <w:szCs w:val="20"/>
          <w:shd w:val="clear" w:color="auto" w:fill="FFFFFF"/>
          <w:lang w:val="en-GB"/>
        </w:rPr>
      </w:pPr>
      <w:hyperlink r:id="rId9" w:history="1">
        <w:r w:rsidR="001770CA" w:rsidRPr="001770CA">
          <w:rPr>
            <w:rFonts w:cs="Arial"/>
            <w:sz w:val="20"/>
            <w:szCs w:val="20"/>
            <w:u w:val="single"/>
            <w:shd w:val="clear" w:color="auto" w:fill="FFFFFF"/>
            <w:lang w:val="en-GB"/>
          </w:rPr>
          <w:t>rzecznik@plk-sa.pl</w:t>
        </w:r>
      </w:hyperlink>
      <w:r w:rsidR="001770CA" w:rsidRPr="001770CA">
        <w:rPr>
          <w:rFonts w:cs="Arial"/>
          <w:sz w:val="20"/>
          <w:szCs w:val="20"/>
          <w:shd w:val="clear" w:color="auto" w:fill="FFFFFF"/>
          <w:lang w:val="en-GB"/>
        </w:rPr>
        <w:t xml:space="preserve"> </w:t>
      </w:r>
      <w:r w:rsidR="001770CA" w:rsidRPr="001770CA">
        <w:rPr>
          <w:rFonts w:cs="Arial"/>
          <w:sz w:val="20"/>
          <w:szCs w:val="20"/>
          <w:lang w:val="en-GB"/>
        </w:rPr>
        <w:br/>
      </w:r>
      <w:r w:rsidR="001770CA" w:rsidRPr="001770CA">
        <w:rPr>
          <w:rFonts w:cs="Arial"/>
          <w:sz w:val="20"/>
          <w:szCs w:val="20"/>
          <w:shd w:val="clear" w:color="auto" w:fill="FFFFFF"/>
          <w:lang w:val="en-GB"/>
        </w:rPr>
        <w:t>tel.: 22 473 30 02, 571 370 229</w:t>
      </w:r>
    </w:p>
    <w:p w14:paraId="7C0A2081" w14:textId="77777777" w:rsidR="001770CA" w:rsidRPr="001770CA" w:rsidRDefault="001770CA" w:rsidP="001770CA">
      <w:pPr>
        <w:spacing w:after="0" w:line="240" w:lineRule="auto"/>
        <w:rPr>
          <w:rFonts w:cs="Arial"/>
          <w:b/>
          <w:sz w:val="20"/>
          <w:szCs w:val="20"/>
          <w:shd w:val="clear" w:color="auto" w:fill="FFFFFF"/>
          <w:lang w:val="en-GB"/>
        </w:rPr>
      </w:pPr>
    </w:p>
    <w:p w14:paraId="2B8DE8A1" w14:textId="77777777" w:rsidR="001770CA" w:rsidRPr="001770CA" w:rsidRDefault="001770CA" w:rsidP="001770CA">
      <w:pPr>
        <w:spacing w:after="0" w:line="240" w:lineRule="auto"/>
        <w:rPr>
          <w:b/>
          <w:sz w:val="20"/>
          <w:szCs w:val="20"/>
        </w:rPr>
      </w:pPr>
      <w:r w:rsidRPr="001770CA">
        <w:rPr>
          <w:b/>
          <w:bCs/>
          <w:sz w:val="20"/>
          <w:szCs w:val="20"/>
        </w:rPr>
        <w:t xml:space="preserve">Narodowe Centrum Badań i Rozwoju </w:t>
      </w:r>
    </w:p>
    <w:p w14:paraId="7E223463" w14:textId="77777777" w:rsidR="001770CA" w:rsidRPr="001770CA" w:rsidRDefault="001770CA" w:rsidP="001770CA">
      <w:pPr>
        <w:spacing w:after="0" w:line="240" w:lineRule="auto"/>
        <w:rPr>
          <w:bCs/>
          <w:sz w:val="20"/>
          <w:szCs w:val="20"/>
        </w:rPr>
      </w:pPr>
      <w:r w:rsidRPr="001770CA">
        <w:rPr>
          <w:bCs/>
          <w:sz w:val="20"/>
          <w:szCs w:val="20"/>
        </w:rPr>
        <w:t xml:space="preserve">Jakub Lackorzyński </w:t>
      </w:r>
    </w:p>
    <w:p w14:paraId="0140BA3F" w14:textId="77777777" w:rsidR="001770CA" w:rsidRPr="001770CA" w:rsidRDefault="001770CA" w:rsidP="001770CA">
      <w:pPr>
        <w:spacing w:after="0" w:line="240" w:lineRule="auto"/>
        <w:rPr>
          <w:bCs/>
          <w:sz w:val="20"/>
          <w:szCs w:val="20"/>
        </w:rPr>
      </w:pPr>
      <w:r w:rsidRPr="001770CA">
        <w:rPr>
          <w:bCs/>
          <w:sz w:val="20"/>
          <w:szCs w:val="20"/>
        </w:rPr>
        <w:t>rzecznik prasowy</w:t>
      </w:r>
    </w:p>
    <w:p w14:paraId="2B35B52A" w14:textId="77777777" w:rsidR="001770CA" w:rsidRPr="001770CA" w:rsidRDefault="00AD7363" w:rsidP="001770CA">
      <w:pPr>
        <w:spacing w:after="0" w:line="240" w:lineRule="auto"/>
        <w:rPr>
          <w:bCs/>
          <w:sz w:val="20"/>
          <w:szCs w:val="20"/>
        </w:rPr>
      </w:pPr>
      <w:hyperlink r:id="rId10" w:history="1">
        <w:r w:rsidR="001770CA" w:rsidRPr="001770CA">
          <w:rPr>
            <w:bCs/>
            <w:sz w:val="20"/>
            <w:szCs w:val="20"/>
            <w:u w:val="single"/>
          </w:rPr>
          <w:t>media@ncbr.gov.pl</w:t>
        </w:r>
      </w:hyperlink>
    </w:p>
    <w:p w14:paraId="4673E187" w14:textId="77777777" w:rsidR="001770CA" w:rsidRPr="001770CA" w:rsidRDefault="001770CA" w:rsidP="001770CA">
      <w:pPr>
        <w:spacing w:after="0" w:line="240" w:lineRule="auto"/>
        <w:rPr>
          <w:bCs/>
          <w:sz w:val="20"/>
          <w:szCs w:val="20"/>
        </w:rPr>
      </w:pPr>
      <w:r w:rsidRPr="001770CA">
        <w:rPr>
          <w:bCs/>
          <w:sz w:val="20"/>
          <w:szCs w:val="20"/>
        </w:rPr>
        <w:t>tel. 724 583 536</w:t>
      </w:r>
    </w:p>
    <w:p w14:paraId="0AFB2427" w14:textId="77777777" w:rsidR="00F05BC8" w:rsidRPr="0047070B" w:rsidRDefault="00F05BC8" w:rsidP="00C708B4">
      <w:pPr>
        <w:spacing w:line="360" w:lineRule="auto"/>
        <w:rPr>
          <w:color w:val="FF0000"/>
        </w:rPr>
      </w:pPr>
    </w:p>
    <w:p w14:paraId="5FA6B359" w14:textId="77777777" w:rsidR="00A15AED" w:rsidRPr="00C708B4" w:rsidRDefault="00A15AED" w:rsidP="00C708B4">
      <w:pPr>
        <w:spacing w:line="360" w:lineRule="auto"/>
        <w:jc w:val="center"/>
      </w:pPr>
    </w:p>
    <w:sectPr w:rsidR="00A15AED" w:rsidRPr="00C708B4" w:rsidSect="0063625B">
      <w:headerReference w:type="first" r:id="rId11"/>
      <w:footerReference w:type="first" r:id="rId12"/>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AF0F5" w14:textId="77777777" w:rsidR="00AD7363" w:rsidRDefault="00AD7363" w:rsidP="009D1AEB">
      <w:pPr>
        <w:spacing w:after="0" w:line="240" w:lineRule="auto"/>
      </w:pPr>
      <w:r>
        <w:separator/>
      </w:r>
    </w:p>
  </w:endnote>
  <w:endnote w:type="continuationSeparator" w:id="0">
    <w:p w14:paraId="06BE37A5" w14:textId="77777777" w:rsidR="00AD7363" w:rsidRDefault="00AD7363"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E9CC" w14:textId="77777777" w:rsidR="00860074" w:rsidRDefault="00860074" w:rsidP="00860074">
    <w:pPr>
      <w:spacing w:after="0" w:line="240" w:lineRule="auto"/>
      <w:rPr>
        <w:rFonts w:cs="Arial"/>
        <w:color w:val="727271"/>
        <w:sz w:val="14"/>
        <w:szCs w:val="14"/>
      </w:rPr>
    </w:pPr>
  </w:p>
  <w:p w14:paraId="75FE0E53"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2E78707A" w14:textId="77777777"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14:paraId="5D7FC891"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F26B3" w:rsidRPr="00FF26B3">
      <w:rPr>
        <w:rFonts w:cs="Arial"/>
        <w:color w:val="727271"/>
        <w:sz w:val="14"/>
        <w:szCs w:val="14"/>
      </w:rPr>
      <w:t>29 409 453 000,00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7D0AD" w14:textId="77777777" w:rsidR="00AD7363" w:rsidRDefault="00AD7363" w:rsidP="009D1AEB">
      <w:pPr>
        <w:spacing w:after="0" w:line="240" w:lineRule="auto"/>
      </w:pPr>
      <w:r>
        <w:separator/>
      </w:r>
    </w:p>
  </w:footnote>
  <w:footnote w:type="continuationSeparator" w:id="0">
    <w:p w14:paraId="117FB644" w14:textId="77777777" w:rsidR="00AD7363" w:rsidRDefault="00AD7363"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CAF9"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037F4473" wp14:editId="4471B1F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14F09B9D"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D8EA216" w14:textId="77777777" w:rsidR="009D1AEB" w:rsidRDefault="009D1AEB" w:rsidP="009D1AEB">
                          <w:pPr>
                            <w:spacing w:after="0"/>
                            <w:rPr>
                              <w:rFonts w:cs="Arial"/>
                              <w:sz w:val="16"/>
                              <w:szCs w:val="16"/>
                            </w:rPr>
                          </w:pPr>
                          <w:r>
                            <w:rPr>
                              <w:rFonts w:cs="Arial"/>
                              <w:sz w:val="16"/>
                              <w:szCs w:val="16"/>
                            </w:rPr>
                            <w:t>Biuro Komunikacji i Promocji</w:t>
                          </w:r>
                        </w:p>
                        <w:p w14:paraId="13ED0DD9"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838E80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A29C56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7F870C75"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AF5D0FF" w14:textId="77777777" w:rsidR="009D1AEB" w:rsidRPr="004D6EC9" w:rsidRDefault="009D1AEB" w:rsidP="009D1AEB">
                          <w:pPr>
                            <w:spacing w:after="0"/>
                            <w:rPr>
                              <w:rFonts w:cs="Arial"/>
                              <w:sz w:val="16"/>
                              <w:szCs w:val="16"/>
                            </w:rPr>
                          </w:pPr>
                          <w:r w:rsidRPr="004D6EC9">
                            <w:rPr>
                              <w:rFonts w:cs="Arial"/>
                              <w:sz w:val="16"/>
                              <w:szCs w:val="16"/>
                            </w:rPr>
                            <w:t>www.plk-sa.pl</w:t>
                          </w:r>
                        </w:p>
                        <w:p w14:paraId="435FC770"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7F4473"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14:paraId="14F09B9D"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D8EA216" w14:textId="77777777" w:rsidR="009D1AEB" w:rsidRDefault="009D1AEB" w:rsidP="009D1AEB">
                    <w:pPr>
                      <w:spacing w:after="0"/>
                      <w:rPr>
                        <w:rFonts w:cs="Arial"/>
                        <w:sz w:val="16"/>
                        <w:szCs w:val="16"/>
                      </w:rPr>
                    </w:pPr>
                    <w:r>
                      <w:rPr>
                        <w:rFonts w:cs="Arial"/>
                        <w:sz w:val="16"/>
                        <w:szCs w:val="16"/>
                      </w:rPr>
                      <w:t>Biuro Komunikacji i Promocji</w:t>
                    </w:r>
                  </w:p>
                  <w:p w14:paraId="13ED0DD9"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838E80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A29C56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7F870C75"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AF5D0FF" w14:textId="77777777" w:rsidR="009D1AEB" w:rsidRPr="004D6EC9" w:rsidRDefault="009D1AEB" w:rsidP="009D1AEB">
                    <w:pPr>
                      <w:spacing w:after="0"/>
                      <w:rPr>
                        <w:rFonts w:cs="Arial"/>
                        <w:sz w:val="16"/>
                        <w:szCs w:val="16"/>
                      </w:rPr>
                    </w:pPr>
                    <w:r w:rsidRPr="004D6EC9">
                      <w:rPr>
                        <w:rFonts w:cs="Arial"/>
                        <w:sz w:val="16"/>
                        <w:szCs w:val="16"/>
                      </w:rPr>
                      <w:t>www.plk-sa.pl</w:t>
                    </w:r>
                  </w:p>
                  <w:p w14:paraId="435FC770"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8C42CF0" wp14:editId="78FCCA7A">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2828"/>
    <w:multiLevelType w:val="hybridMultilevel"/>
    <w:tmpl w:val="5EE88500"/>
    <w:lvl w:ilvl="0" w:tplc="E19CC58C">
      <w:start w:val="2"/>
      <w:numFmt w:val="decimal"/>
      <w:lvlText w:val="%1."/>
      <w:lvlJc w:val="left"/>
      <w:pPr>
        <w:tabs>
          <w:tab w:val="num" w:pos="720"/>
        </w:tabs>
        <w:ind w:left="720" w:hanging="360"/>
      </w:pPr>
    </w:lvl>
    <w:lvl w:ilvl="1" w:tplc="106A2FD6" w:tentative="1">
      <w:start w:val="1"/>
      <w:numFmt w:val="decimal"/>
      <w:lvlText w:val="%2."/>
      <w:lvlJc w:val="left"/>
      <w:pPr>
        <w:tabs>
          <w:tab w:val="num" w:pos="1440"/>
        </w:tabs>
        <w:ind w:left="1440" w:hanging="360"/>
      </w:pPr>
    </w:lvl>
    <w:lvl w:ilvl="2" w:tplc="9968BB7E" w:tentative="1">
      <w:start w:val="1"/>
      <w:numFmt w:val="decimal"/>
      <w:lvlText w:val="%3."/>
      <w:lvlJc w:val="left"/>
      <w:pPr>
        <w:tabs>
          <w:tab w:val="num" w:pos="2160"/>
        </w:tabs>
        <w:ind w:left="2160" w:hanging="360"/>
      </w:pPr>
    </w:lvl>
    <w:lvl w:ilvl="3" w:tplc="448E6BBA" w:tentative="1">
      <w:start w:val="1"/>
      <w:numFmt w:val="decimal"/>
      <w:lvlText w:val="%4."/>
      <w:lvlJc w:val="left"/>
      <w:pPr>
        <w:tabs>
          <w:tab w:val="num" w:pos="2880"/>
        </w:tabs>
        <w:ind w:left="2880" w:hanging="360"/>
      </w:pPr>
    </w:lvl>
    <w:lvl w:ilvl="4" w:tplc="5A40E1D0" w:tentative="1">
      <w:start w:val="1"/>
      <w:numFmt w:val="decimal"/>
      <w:lvlText w:val="%5."/>
      <w:lvlJc w:val="left"/>
      <w:pPr>
        <w:tabs>
          <w:tab w:val="num" w:pos="3600"/>
        </w:tabs>
        <w:ind w:left="3600" w:hanging="360"/>
      </w:pPr>
    </w:lvl>
    <w:lvl w:ilvl="5" w:tplc="92404430" w:tentative="1">
      <w:start w:val="1"/>
      <w:numFmt w:val="decimal"/>
      <w:lvlText w:val="%6."/>
      <w:lvlJc w:val="left"/>
      <w:pPr>
        <w:tabs>
          <w:tab w:val="num" w:pos="4320"/>
        </w:tabs>
        <w:ind w:left="4320" w:hanging="360"/>
      </w:pPr>
    </w:lvl>
    <w:lvl w:ilvl="6" w:tplc="33A24F24" w:tentative="1">
      <w:start w:val="1"/>
      <w:numFmt w:val="decimal"/>
      <w:lvlText w:val="%7."/>
      <w:lvlJc w:val="left"/>
      <w:pPr>
        <w:tabs>
          <w:tab w:val="num" w:pos="5040"/>
        </w:tabs>
        <w:ind w:left="5040" w:hanging="360"/>
      </w:pPr>
    </w:lvl>
    <w:lvl w:ilvl="7" w:tplc="6742B0C8" w:tentative="1">
      <w:start w:val="1"/>
      <w:numFmt w:val="decimal"/>
      <w:lvlText w:val="%8."/>
      <w:lvlJc w:val="left"/>
      <w:pPr>
        <w:tabs>
          <w:tab w:val="num" w:pos="5760"/>
        </w:tabs>
        <w:ind w:left="5760" w:hanging="360"/>
      </w:pPr>
    </w:lvl>
    <w:lvl w:ilvl="8" w:tplc="833AE868" w:tentative="1">
      <w:start w:val="1"/>
      <w:numFmt w:val="decimal"/>
      <w:lvlText w:val="%9."/>
      <w:lvlJc w:val="left"/>
      <w:pPr>
        <w:tabs>
          <w:tab w:val="num" w:pos="6480"/>
        </w:tabs>
        <w:ind w:left="6480" w:hanging="360"/>
      </w:pPr>
    </w:lvl>
  </w:abstractNum>
  <w:abstractNum w:abstractNumId="1" w15:restartNumberingAfterBreak="0">
    <w:nsid w:val="0ECF4D05"/>
    <w:multiLevelType w:val="hybridMultilevel"/>
    <w:tmpl w:val="FEBACB3A"/>
    <w:lvl w:ilvl="0" w:tplc="EADEC60A">
      <w:start w:val="3"/>
      <w:numFmt w:val="decimal"/>
      <w:lvlText w:val="%1."/>
      <w:lvlJc w:val="left"/>
      <w:pPr>
        <w:tabs>
          <w:tab w:val="num" w:pos="720"/>
        </w:tabs>
        <w:ind w:left="720" w:hanging="360"/>
      </w:pPr>
    </w:lvl>
    <w:lvl w:ilvl="1" w:tplc="E020ED2C" w:tentative="1">
      <w:start w:val="1"/>
      <w:numFmt w:val="decimal"/>
      <w:lvlText w:val="%2."/>
      <w:lvlJc w:val="left"/>
      <w:pPr>
        <w:tabs>
          <w:tab w:val="num" w:pos="1440"/>
        </w:tabs>
        <w:ind w:left="1440" w:hanging="360"/>
      </w:pPr>
    </w:lvl>
    <w:lvl w:ilvl="2" w:tplc="5C9EB38A" w:tentative="1">
      <w:start w:val="1"/>
      <w:numFmt w:val="decimal"/>
      <w:lvlText w:val="%3."/>
      <w:lvlJc w:val="left"/>
      <w:pPr>
        <w:tabs>
          <w:tab w:val="num" w:pos="2160"/>
        </w:tabs>
        <w:ind w:left="2160" w:hanging="360"/>
      </w:pPr>
    </w:lvl>
    <w:lvl w:ilvl="3" w:tplc="371ED918" w:tentative="1">
      <w:start w:val="1"/>
      <w:numFmt w:val="decimal"/>
      <w:lvlText w:val="%4."/>
      <w:lvlJc w:val="left"/>
      <w:pPr>
        <w:tabs>
          <w:tab w:val="num" w:pos="2880"/>
        </w:tabs>
        <w:ind w:left="2880" w:hanging="360"/>
      </w:pPr>
    </w:lvl>
    <w:lvl w:ilvl="4" w:tplc="27D6A54C" w:tentative="1">
      <w:start w:val="1"/>
      <w:numFmt w:val="decimal"/>
      <w:lvlText w:val="%5."/>
      <w:lvlJc w:val="left"/>
      <w:pPr>
        <w:tabs>
          <w:tab w:val="num" w:pos="3600"/>
        </w:tabs>
        <w:ind w:left="3600" w:hanging="360"/>
      </w:pPr>
    </w:lvl>
    <w:lvl w:ilvl="5" w:tplc="D632BA24" w:tentative="1">
      <w:start w:val="1"/>
      <w:numFmt w:val="decimal"/>
      <w:lvlText w:val="%6."/>
      <w:lvlJc w:val="left"/>
      <w:pPr>
        <w:tabs>
          <w:tab w:val="num" w:pos="4320"/>
        </w:tabs>
        <w:ind w:left="4320" w:hanging="360"/>
      </w:pPr>
    </w:lvl>
    <w:lvl w:ilvl="6" w:tplc="A468AE72" w:tentative="1">
      <w:start w:val="1"/>
      <w:numFmt w:val="decimal"/>
      <w:lvlText w:val="%7."/>
      <w:lvlJc w:val="left"/>
      <w:pPr>
        <w:tabs>
          <w:tab w:val="num" w:pos="5040"/>
        </w:tabs>
        <w:ind w:left="5040" w:hanging="360"/>
      </w:pPr>
    </w:lvl>
    <w:lvl w:ilvl="7" w:tplc="DC1CBB24" w:tentative="1">
      <w:start w:val="1"/>
      <w:numFmt w:val="decimal"/>
      <w:lvlText w:val="%8."/>
      <w:lvlJc w:val="left"/>
      <w:pPr>
        <w:tabs>
          <w:tab w:val="num" w:pos="5760"/>
        </w:tabs>
        <w:ind w:left="5760" w:hanging="360"/>
      </w:pPr>
    </w:lvl>
    <w:lvl w:ilvl="8" w:tplc="E2F0BF12" w:tentative="1">
      <w:start w:val="1"/>
      <w:numFmt w:val="decimal"/>
      <w:lvlText w:val="%9."/>
      <w:lvlJc w:val="left"/>
      <w:pPr>
        <w:tabs>
          <w:tab w:val="num" w:pos="6480"/>
        </w:tabs>
        <w:ind w:left="6480" w:hanging="360"/>
      </w:p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8D447A"/>
    <w:multiLevelType w:val="hybridMultilevel"/>
    <w:tmpl w:val="5F0017A6"/>
    <w:lvl w:ilvl="0" w:tplc="98C075A0">
      <w:start w:val="1"/>
      <w:numFmt w:val="bullet"/>
      <w:lvlText w:val=""/>
      <w:lvlJc w:val="left"/>
      <w:pPr>
        <w:tabs>
          <w:tab w:val="num" w:pos="720"/>
        </w:tabs>
        <w:ind w:left="720" w:hanging="360"/>
      </w:pPr>
      <w:rPr>
        <w:rFonts w:ascii="Wingdings" w:hAnsi="Wingdings" w:hint="default"/>
      </w:rPr>
    </w:lvl>
    <w:lvl w:ilvl="1" w:tplc="12B85DB2" w:tentative="1">
      <w:start w:val="1"/>
      <w:numFmt w:val="bullet"/>
      <w:lvlText w:val=""/>
      <w:lvlJc w:val="left"/>
      <w:pPr>
        <w:tabs>
          <w:tab w:val="num" w:pos="1440"/>
        </w:tabs>
        <w:ind w:left="1440" w:hanging="360"/>
      </w:pPr>
      <w:rPr>
        <w:rFonts w:ascii="Wingdings" w:hAnsi="Wingdings" w:hint="default"/>
      </w:rPr>
    </w:lvl>
    <w:lvl w:ilvl="2" w:tplc="DF94BB74" w:tentative="1">
      <w:start w:val="1"/>
      <w:numFmt w:val="bullet"/>
      <w:lvlText w:val=""/>
      <w:lvlJc w:val="left"/>
      <w:pPr>
        <w:tabs>
          <w:tab w:val="num" w:pos="2160"/>
        </w:tabs>
        <w:ind w:left="2160" w:hanging="360"/>
      </w:pPr>
      <w:rPr>
        <w:rFonts w:ascii="Wingdings" w:hAnsi="Wingdings" w:hint="default"/>
      </w:rPr>
    </w:lvl>
    <w:lvl w:ilvl="3" w:tplc="06846764" w:tentative="1">
      <w:start w:val="1"/>
      <w:numFmt w:val="bullet"/>
      <w:lvlText w:val=""/>
      <w:lvlJc w:val="left"/>
      <w:pPr>
        <w:tabs>
          <w:tab w:val="num" w:pos="2880"/>
        </w:tabs>
        <w:ind w:left="2880" w:hanging="360"/>
      </w:pPr>
      <w:rPr>
        <w:rFonts w:ascii="Wingdings" w:hAnsi="Wingdings" w:hint="default"/>
      </w:rPr>
    </w:lvl>
    <w:lvl w:ilvl="4" w:tplc="CA8E68E0" w:tentative="1">
      <w:start w:val="1"/>
      <w:numFmt w:val="bullet"/>
      <w:lvlText w:val=""/>
      <w:lvlJc w:val="left"/>
      <w:pPr>
        <w:tabs>
          <w:tab w:val="num" w:pos="3600"/>
        </w:tabs>
        <w:ind w:left="3600" w:hanging="360"/>
      </w:pPr>
      <w:rPr>
        <w:rFonts w:ascii="Wingdings" w:hAnsi="Wingdings" w:hint="default"/>
      </w:rPr>
    </w:lvl>
    <w:lvl w:ilvl="5" w:tplc="B7301B72" w:tentative="1">
      <w:start w:val="1"/>
      <w:numFmt w:val="bullet"/>
      <w:lvlText w:val=""/>
      <w:lvlJc w:val="left"/>
      <w:pPr>
        <w:tabs>
          <w:tab w:val="num" w:pos="4320"/>
        </w:tabs>
        <w:ind w:left="4320" w:hanging="360"/>
      </w:pPr>
      <w:rPr>
        <w:rFonts w:ascii="Wingdings" w:hAnsi="Wingdings" w:hint="default"/>
      </w:rPr>
    </w:lvl>
    <w:lvl w:ilvl="6" w:tplc="2BAA67F4" w:tentative="1">
      <w:start w:val="1"/>
      <w:numFmt w:val="bullet"/>
      <w:lvlText w:val=""/>
      <w:lvlJc w:val="left"/>
      <w:pPr>
        <w:tabs>
          <w:tab w:val="num" w:pos="5040"/>
        </w:tabs>
        <w:ind w:left="5040" w:hanging="360"/>
      </w:pPr>
      <w:rPr>
        <w:rFonts w:ascii="Wingdings" w:hAnsi="Wingdings" w:hint="default"/>
      </w:rPr>
    </w:lvl>
    <w:lvl w:ilvl="7" w:tplc="9A58C09C" w:tentative="1">
      <w:start w:val="1"/>
      <w:numFmt w:val="bullet"/>
      <w:lvlText w:val=""/>
      <w:lvlJc w:val="left"/>
      <w:pPr>
        <w:tabs>
          <w:tab w:val="num" w:pos="5760"/>
        </w:tabs>
        <w:ind w:left="5760" w:hanging="360"/>
      </w:pPr>
      <w:rPr>
        <w:rFonts w:ascii="Wingdings" w:hAnsi="Wingdings" w:hint="default"/>
      </w:rPr>
    </w:lvl>
    <w:lvl w:ilvl="8" w:tplc="CC8473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4B9C60E6"/>
    <w:multiLevelType w:val="hybridMultilevel"/>
    <w:tmpl w:val="4560F0BA"/>
    <w:lvl w:ilvl="0" w:tplc="B85AC7BE">
      <w:start w:val="1"/>
      <w:numFmt w:val="decimal"/>
      <w:lvlText w:val="%1."/>
      <w:lvlJc w:val="left"/>
      <w:pPr>
        <w:tabs>
          <w:tab w:val="num" w:pos="720"/>
        </w:tabs>
        <w:ind w:left="720" w:hanging="360"/>
      </w:pPr>
    </w:lvl>
    <w:lvl w:ilvl="1" w:tplc="3BDCCE78" w:tentative="1">
      <w:start w:val="1"/>
      <w:numFmt w:val="decimal"/>
      <w:lvlText w:val="%2."/>
      <w:lvlJc w:val="left"/>
      <w:pPr>
        <w:tabs>
          <w:tab w:val="num" w:pos="1440"/>
        </w:tabs>
        <w:ind w:left="1440" w:hanging="360"/>
      </w:pPr>
    </w:lvl>
    <w:lvl w:ilvl="2" w:tplc="828226D6" w:tentative="1">
      <w:start w:val="1"/>
      <w:numFmt w:val="decimal"/>
      <w:lvlText w:val="%3."/>
      <w:lvlJc w:val="left"/>
      <w:pPr>
        <w:tabs>
          <w:tab w:val="num" w:pos="2160"/>
        </w:tabs>
        <w:ind w:left="2160" w:hanging="360"/>
      </w:pPr>
    </w:lvl>
    <w:lvl w:ilvl="3" w:tplc="62C6A08A" w:tentative="1">
      <w:start w:val="1"/>
      <w:numFmt w:val="decimal"/>
      <w:lvlText w:val="%4."/>
      <w:lvlJc w:val="left"/>
      <w:pPr>
        <w:tabs>
          <w:tab w:val="num" w:pos="2880"/>
        </w:tabs>
        <w:ind w:left="2880" w:hanging="360"/>
      </w:pPr>
    </w:lvl>
    <w:lvl w:ilvl="4" w:tplc="5412924A" w:tentative="1">
      <w:start w:val="1"/>
      <w:numFmt w:val="decimal"/>
      <w:lvlText w:val="%5."/>
      <w:lvlJc w:val="left"/>
      <w:pPr>
        <w:tabs>
          <w:tab w:val="num" w:pos="3600"/>
        </w:tabs>
        <w:ind w:left="3600" w:hanging="360"/>
      </w:pPr>
    </w:lvl>
    <w:lvl w:ilvl="5" w:tplc="8C481CE2" w:tentative="1">
      <w:start w:val="1"/>
      <w:numFmt w:val="decimal"/>
      <w:lvlText w:val="%6."/>
      <w:lvlJc w:val="left"/>
      <w:pPr>
        <w:tabs>
          <w:tab w:val="num" w:pos="4320"/>
        </w:tabs>
        <w:ind w:left="4320" w:hanging="360"/>
      </w:pPr>
    </w:lvl>
    <w:lvl w:ilvl="6" w:tplc="904AF382" w:tentative="1">
      <w:start w:val="1"/>
      <w:numFmt w:val="decimal"/>
      <w:lvlText w:val="%7."/>
      <w:lvlJc w:val="left"/>
      <w:pPr>
        <w:tabs>
          <w:tab w:val="num" w:pos="5040"/>
        </w:tabs>
        <w:ind w:left="5040" w:hanging="360"/>
      </w:pPr>
    </w:lvl>
    <w:lvl w:ilvl="7" w:tplc="87463188" w:tentative="1">
      <w:start w:val="1"/>
      <w:numFmt w:val="decimal"/>
      <w:lvlText w:val="%8."/>
      <w:lvlJc w:val="left"/>
      <w:pPr>
        <w:tabs>
          <w:tab w:val="num" w:pos="5760"/>
        </w:tabs>
        <w:ind w:left="5760" w:hanging="360"/>
      </w:pPr>
    </w:lvl>
    <w:lvl w:ilvl="8" w:tplc="93B28ED4" w:tentative="1">
      <w:start w:val="1"/>
      <w:numFmt w:val="decimal"/>
      <w:lvlText w:val="%9."/>
      <w:lvlJc w:val="left"/>
      <w:pPr>
        <w:tabs>
          <w:tab w:val="num" w:pos="6480"/>
        </w:tabs>
        <w:ind w:left="6480" w:hanging="360"/>
      </w:pPr>
    </w:lvl>
  </w:abstractNum>
  <w:abstractNum w:abstractNumId="6" w15:restartNumberingAfterBreak="0">
    <w:nsid w:val="4F7624CE"/>
    <w:multiLevelType w:val="hybridMultilevel"/>
    <w:tmpl w:val="5A304EE6"/>
    <w:lvl w:ilvl="0" w:tplc="5EA2C11E">
      <w:start w:val="1"/>
      <w:numFmt w:val="bullet"/>
      <w:lvlText w:val=""/>
      <w:lvlJc w:val="left"/>
      <w:pPr>
        <w:tabs>
          <w:tab w:val="num" w:pos="720"/>
        </w:tabs>
        <w:ind w:left="720" w:hanging="360"/>
      </w:pPr>
      <w:rPr>
        <w:rFonts w:ascii="Wingdings" w:hAnsi="Wingdings" w:hint="default"/>
      </w:rPr>
    </w:lvl>
    <w:lvl w:ilvl="1" w:tplc="2F80A310" w:tentative="1">
      <w:start w:val="1"/>
      <w:numFmt w:val="bullet"/>
      <w:lvlText w:val=""/>
      <w:lvlJc w:val="left"/>
      <w:pPr>
        <w:tabs>
          <w:tab w:val="num" w:pos="1440"/>
        </w:tabs>
        <w:ind w:left="1440" w:hanging="360"/>
      </w:pPr>
      <w:rPr>
        <w:rFonts w:ascii="Wingdings" w:hAnsi="Wingdings" w:hint="default"/>
      </w:rPr>
    </w:lvl>
    <w:lvl w:ilvl="2" w:tplc="2CEA7CBE" w:tentative="1">
      <w:start w:val="1"/>
      <w:numFmt w:val="bullet"/>
      <w:lvlText w:val=""/>
      <w:lvlJc w:val="left"/>
      <w:pPr>
        <w:tabs>
          <w:tab w:val="num" w:pos="2160"/>
        </w:tabs>
        <w:ind w:left="2160" w:hanging="360"/>
      </w:pPr>
      <w:rPr>
        <w:rFonts w:ascii="Wingdings" w:hAnsi="Wingdings" w:hint="default"/>
      </w:rPr>
    </w:lvl>
    <w:lvl w:ilvl="3" w:tplc="FC5A936A" w:tentative="1">
      <w:start w:val="1"/>
      <w:numFmt w:val="bullet"/>
      <w:lvlText w:val=""/>
      <w:lvlJc w:val="left"/>
      <w:pPr>
        <w:tabs>
          <w:tab w:val="num" w:pos="2880"/>
        </w:tabs>
        <w:ind w:left="2880" w:hanging="360"/>
      </w:pPr>
      <w:rPr>
        <w:rFonts w:ascii="Wingdings" w:hAnsi="Wingdings" w:hint="default"/>
      </w:rPr>
    </w:lvl>
    <w:lvl w:ilvl="4" w:tplc="D5DC1884" w:tentative="1">
      <w:start w:val="1"/>
      <w:numFmt w:val="bullet"/>
      <w:lvlText w:val=""/>
      <w:lvlJc w:val="left"/>
      <w:pPr>
        <w:tabs>
          <w:tab w:val="num" w:pos="3600"/>
        </w:tabs>
        <w:ind w:left="3600" w:hanging="360"/>
      </w:pPr>
      <w:rPr>
        <w:rFonts w:ascii="Wingdings" w:hAnsi="Wingdings" w:hint="default"/>
      </w:rPr>
    </w:lvl>
    <w:lvl w:ilvl="5" w:tplc="0532920A" w:tentative="1">
      <w:start w:val="1"/>
      <w:numFmt w:val="bullet"/>
      <w:lvlText w:val=""/>
      <w:lvlJc w:val="left"/>
      <w:pPr>
        <w:tabs>
          <w:tab w:val="num" w:pos="4320"/>
        </w:tabs>
        <w:ind w:left="4320" w:hanging="360"/>
      </w:pPr>
      <w:rPr>
        <w:rFonts w:ascii="Wingdings" w:hAnsi="Wingdings" w:hint="default"/>
      </w:rPr>
    </w:lvl>
    <w:lvl w:ilvl="6" w:tplc="0BE8216C" w:tentative="1">
      <w:start w:val="1"/>
      <w:numFmt w:val="bullet"/>
      <w:lvlText w:val=""/>
      <w:lvlJc w:val="left"/>
      <w:pPr>
        <w:tabs>
          <w:tab w:val="num" w:pos="5040"/>
        </w:tabs>
        <w:ind w:left="5040" w:hanging="360"/>
      </w:pPr>
      <w:rPr>
        <w:rFonts w:ascii="Wingdings" w:hAnsi="Wingdings" w:hint="default"/>
      </w:rPr>
    </w:lvl>
    <w:lvl w:ilvl="7" w:tplc="B68A4E62" w:tentative="1">
      <w:start w:val="1"/>
      <w:numFmt w:val="bullet"/>
      <w:lvlText w:val=""/>
      <w:lvlJc w:val="left"/>
      <w:pPr>
        <w:tabs>
          <w:tab w:val="num" w:pos="5760"/>
        </w:tabs>
        <w:ind w:left="5760" w:hanging="360"/>
      </w:pPr>
      <w:rPr>
        <w:rFonts w:ascii="Wingdings" w:hAnsi="Wingdings" w:hint="default"/>
      </w:rPr>
    </w:lvl>
    <w:lvl w:ilvl="8" w:tplc="750827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C6426"/>
    <w:multiLevelType w:val="hybridMultilevel"/>
    <w:tmpl w:val="8026B8D4"/>
    <w:lvl w:ilvl="0" w:tplc="0DA4B75E">
      <w:start w:val="1"/>
      <w:numFmt w:val="decimal"/>
      <w:lvlText w:val="%1."/>
      <w:lvlJc w:val="left"/>
      <w:pPr>
        <w:tabs>
          <w:tab w:val="num" w:pos="720"/>
        </w:tabs>
        <w:ind w:left="720" w:hanging="360"/>
      </w:pPr>
    </w:lvl>
    <w:lvl w:ilvl="1" w:tplc="0A1EA36C" w:tentative="1">
      <w:start w:val="1"/>
      <w:numFmt w:val="decimal"/>
      <w:lvlText w:val="%2."/>
      <w:lvlJc w:val="left"/>
      <w:pPr>
        <w:tabs>
          <w:tab w:val="num" w:pos="1440"/>
        </w:tabs>
        <w:ind w:left="1440" w:hanging="360"/>
      </w:pPr>
    </w:lvl>
    <w:lvl w:ilvl="2" w:tplc="D3EEF4F4" w:tentative="1">
      <w:start w:val="1"/>
      <w:numFmt w:val="decimal"/>
      <w:lvlText w:val="%3."/>
      <w:lvlJc w:val="left"/>
      <w:pPr>
        <w:tabs>
          <w:tab w:val="num" w:pos="2160"/>
        </w:tabs>
        <w:ind w:left="2160" w:hanging="360"/>
      </w:pPr>
    </w:lvl>
    <w:lvl w:ilvl="3" w:tplc="D1DED3A6" w:tentative="1">
      <w:start w:val="1"/>
      <w:numFmt w:val="decimal"/>
      <w:lvlText w:val="%4."/>
      <w:lvlJc w:val="left"/>
      <w:pPr>
        <w:tabs>
          <w:tab w:val="num" w:pos="2880"/>
        </w:tabs>
        <w:ind w:left="2880" w:hanging="360"/>
      </w:pPr>
    </w:lvl>
    <w:lvl w:ilvl="4" w:tplc="1764CFF4" w:tentative="1">
      <w:start w:val="1"/>
      <w:numFmt w:val="decimal"/>
      <w:lvlText w:val="%5."/>
      <w:lvlJc w:val="left"/>
      <w:pPr>
        <w:tabs>
          <w:tab w:val="num" w:pos="3600"/>
        </w:tabs>
        <w:ind w:left="3600" w:hanging="360"/>
      </w:pPr>
    </w:lvl>
    <w:lvl w:ilvl="5" w:tplc="7E40BC26" w:tentative="1">
      <w:start w:val="1"/>
      <w:numFmt w:val="decimal"/>
      <w:lvlText w:val="%6."/>
      <w:lvlJc w:val="left"/>
      <w:pPr>
        <w:tabs>
          <w:tab w:val="num" w:pos="4320"/>
        </w:tabs>
        <w:ind w:left="4320" w:hanging="360"/>
      </w:pPr>
    </w:lvl>
    <w:lvl w:ilvl="6" w:tplc="A42CD088" w:tentative="1">
      <w:start w:val="1"/>
      <w:numFmt w:val="decimal"/>
      <w:lvlText w:val="%7."/>
      <w:lvlJc w:val="left"/>
      <w:pPr>
        <w:tabs>
          <w:tab w:val="num" w:pos="5040"/>
        </w:tabs>
        <w:ind w:left="5040" w:hanging="360"/>
      </w:pPr>
    </w:lvl>
    <w:lvl w:ilvl="7" w:tplc="A9F6EE06" w:tentative="1">
      <w:start w:val="1"/>
      <w:numFmt w:val="decimal"/>
      <w:lvlText w:val="%8."/>
      <w:lvlJc w:val="left"/>
      <w:pPr>
        <w:tabs>
          <w:tab w:val="num" w:pos="5760"/>
        </w:tabs>
        <w:ind w:left="5760" w:hanging="360"/>
      </w:pPr>
    </w:lvl>
    <w:lvl w:ilvl="8" w:tplc="EC4E1848" w:tentative="1">
      <w:start w:val="1"/>
      <w:numFmt w:val="decimal"/>
      <w:lvlText w:val="%9."/>
      <w:lvlJc w:val="left"/>
      <w:pPr>
        <w:tabs>
          <w:tab w:val="num" w:pos="6480"/>
        </w:tabs>
        <w:ind w:left="6480" w:hanging="360"/>
      </w:pPr>
    </w:lvl>
  </w:abstractNum>
  <w:abstractNum w:abstractNumId="8" w15:restartNumberingAfterBreak="0">
    <w:nsid w:val="695B1BAB"/>
    <w:multiLevelType w:val="hybridMultilevel"/>
    <w:tmpl w:val="5D26ED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8B3E58"/>
    <w:multiLevelType w:val="hybridMultilevel"/>
    <w:tmpl w:val="C1B27864"/>
    <w:lvl w:ilvl="0" w:tplc="ED8A5BB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7"/>
  </w:num>
  <w:num w:numId="4">
    <w:abstractNumId w:val="5"/>
  </w:num>
  <w:num w:numId="5">
    <w:abstractNumId w:val="0"/>
  </w:num>
  <w:num w:numId="6">
    <w:abstractNumId w:val="1"/>
  </w:num>
  <w:num w:numId="7">
    <w:abstractNumId w:val="6"/>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1A7C"/>
    <w:rsid w:val="000D2AE0"/>
    <w:rsid w:val="000E6E65"/>
    <w:rsid w:val="00104C20"/>
    <w:rsid w:val="001269EA"/>
    <w:rsid w:val="001710A3"/>
    <w:rsid w:val="00172741"/>
    <w:rsid w:val="001770CA"/>
    <w:rsid w:val="001813AE"/>
    <w:rsid w:val="002069F4"/>
    <w:rsid w:val="00210130"/>
    <w:rsid w:val="002152B7"/>
    <w:rsid w:val="00236985"/>
    <w:rsid w:val="00243631"/>
    <w:rsid w:val="002665E1"/>
    <w:rsid w:val="00277762"/>
    <w:rsid w:val="00283161"/>
    <w:rsid w:val="00291328"/>
    <w:rsid w:val="00294934"/>
    <w:rsid w:val="002C58C9"/>
    <w:rsid w:val="002E09A6"/>
    <w:rsid w:val="002F6767"/>
    <w:rsid w:val="00317289"/>
    <w:rsid w:val="00353135"/>
    <w:rsid w:val="003546FF"/>
    <w:rsid w:val="0036592C"/>
    <w:rsid w:val="0037030C"/>
    <w:rsid w:val="003C7088"/>
    <w:rsid w:val="003D1A79"/>
    <w:rsid w:val="003F0C77"/>
    <w:rsid w:val="003F42E1"/>
    <w:rsid w:val="0041053B"/>
    <w:rsid w:val="004306BE"/>
    <w:rsid w:val="0047070B"/>
    <w:rsid w:val="004855BB"/>
    <w:rsid w:val="004C67BA"/>
    <w:rsid w:val="005218F5"/>
    <w:rsid w:val="00551753"/>
    <w:rsid w:val="00582628"/>
    <w:rsid w:val="005B1212"/>
    <w:rsid w:val="005C787D"/>
    <w:rsid w:val="0063247B"/>
    <w:rsid w:val="0063625B"/>
    <w:rsid w:val="006B6153"/>
    <w:rsid w:val="006C6C1C"/>
    <w:rsid w:val="007C7C13"/>
    <w:rsid w:val="007E0200"/>
    <w:rsid w:val="007F3648"/>
    <w:rsid w:val="008273F5"/>
    <w:rsid w:val="00830DF5"/>
    <w:rsid w:val="008320E2"/>
    <w:rsid w:val="00860074"/>
    <w:rsid w:val="00863489"/>
    <w:rsid w:val="00882A3A"/>
    <w:rsid w:val="008D5441"/>
    <w:rsid w:val="008D5DE4"/>
    <w:rsid w:val="00945BCB"/>
    <w:rsid w:val="009C46D8"/>
    <w:rsid w:val="009D1AEB"/>
    <w:rsid w:val="009F095B"/>
    <w:rsid w:val="00A10E07"/>
    <w:rsid w:val="00A15AED"/>
    <w:rsid w:val="00A33A66"/>
    <w:rsid w:val="00A345A7"/>
    <w:rsid w:val="00A37991"/>
    <w:rsid w:val="00AC6224"/>
    <w:rsid w:val="00AD7363"/>
    <w:rsid w:val="00B3540A"/>
    <w:rsid w:val="00B407CD"/>
    <w:rsid w:val="00B64717"/>
    <w:rsid w:val="00B87A0F"/>
    <w:rsid w:val="00BA732C"/>
    <w:rsid w:val="00BB50C9"/>
    <w:rsid w:val="00BD4E4F"/>
    <w:rsid w:val="00C33202"/>
    <w:rsid w:val="00C46D07"/>
    <w:rsid w:val="00C708B4"/>
    <w:rsid w:val="00C766D7"/>
    <w:rsid w:val="00CA47A7"/>
    <w:rsid w:val="00CA743A"/>
    <w:rsid w:val="00D149FC"/>
    <w:rsid w:val="00D55027"/>
    <w:rsid w:val="00D80A77"/>
    <w:rsid w:val="00D92651"/>
    <w:rsid w:val="00DE7327"/>
    <w:rsid w:val="00E1052E"/>
    <w:rsid w:val="00E857D5"/>
    <w:rsid w:val="00EB6496"/>
    <w:rsid w:val="00ED06B1"/>
    <w:rsid w:val="00EE74C6"/>
    <w:rsid w:val="00EF4ACF"/>
    <w:rsid w:val="00F05BC8"/>
    <w:rsid w:val="00F21430"/>
    <w:rsid w:val="00F51D24"/>
    <w:rsid w:val="00F72B1E"/>
    <w:rsid w:val="00FA448D"/>
    <w:rsid w:val="00FB184A"/>
    <w:rsid w:val="00FE1922"/>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93074"/>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e à puces retrait droite"/>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8634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0D2AE0"/>
    <w:rPr>
      <w:i/>
      <w:iCs/>
    </w:rPr>
  </w:style>
  <w:style w:type="character" w:customStyle="1" w:styleId="AkapitzlistZnak">
    <w:name w:val="Akapit z listą Znak"/>
    <w:aliases w:val="Liste à puces retrait droite Znak"/>
    <w:basedOn w:val="Domylnaczcionkaakapitu"/>
    <w:link w:val="Akapitzlist"/>
    <w:uiPriority w:val="34"/>
    <w:qFormat/>
    <w:rsid w:val="0047070B"/>
    <w:rPr>
      <w:rFonts w:ascii="Arial" w:hAnsi="Arial"/>
    </w:rPr>
  </w:style>
  <w:style w:type="character" w:styleId="UyteHipercze">
    <w:name w:val="FollowedHyperlink"/>
    <w:basedOn w:val="Domylnaczcionkaakapitu"/>
    <w:uiPriority w:val="99"/>
    <w:semiHidden/>
    <w:unhideWhenUsed/>
    <w:rsid w:val="00470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4999">
      <w:bodyDiv w:val="1"/>
      <w:marLeft w:val="0"/>
      <w:marRight w:val="0"/>
      <w:marTop w:val="0"/>
      <w:marBottom w:val="0"/>
      <w:divBdr>
        <w:top w:val="none" w:sz="0" w:space="0" w:color="auto"/>
        <w:left w:val="none" w:sz="0" w:space="0" w:color="auto"/>
        <w:bottom w:val="none" w:sz="0" w:space="0" w:color="auto"/>
        <w:right w:val="none" w:sz="0" w:space="0" w:color="auto"/>
      </w:divBdr>
      <w:divsChild>
        <w:div w:id="578441796">
          <w:marLeft w:val="0"/>
          <w:marRight w:val="0"/>
          <w:marTop w:val="120"/>
          <w:marBottom w:val="0"/>
          <w:divBdr>
            <w:top w:val="none" w:sz="0" w:space="0" w:color="auto"/>
            <w:left w:val="none" w:sz="0" w:space="0" w:color="auto"/>
            <w:bottom w:val="none" w:sz="0" w:space="0" w:color="auto"/>
            <w:right w:val="none" w:sz="0" w:space="0" w:color="auto"/>
          </w:divBdr>
        </w:div>
      </w:divsChild>
    </w:div>
    <w:div w:id="380905798">
      <w:bodyDiv w:val="1"/>
      <w:marLeft w:val="0"/>
      <w:marRight w:val="0"/>
      <w:marTop w:val="0"/>
      <w:marBottom w:val="0"/>
      <w:divBdr>
        <w:top w:val="none" w:sz="0" w:space="0" w:color="auto"/>
        <w:left w:val="none" w:sz="0" w:space="0" w:color="auto"/>
        <w:bottom w:val="none" w:sz="0" w:space="0" w:color="auto"/>
        <w:right w:val="none" w:sz="0" w:space="0" w:color="auto"/>
      </w:divBdr>
      <w:divsChild>
        <w:div w:id="20670785">
          <w:marLeft w:val="0"/>
          <w:marRight w:val="0"/>
          <w:marTop w:val="120"/>
          <w:marBottom w:val="0"/>
          <w:divBdr>
            <w:top w:val="none" w:sz="0" w:space="0" w:color="auto"/>
            <w:left w:val="none" w:sz="0" w:space="0" w:color="auto"/>
            <w:bottom w:val="none" w:sz="0" w:space="0" w:color="auto"/>
            <w:right w:val="none" w:sz="0" w:space="0" w:color="auto"/>
          </w:divBdr>
        </w:div>
      </w:divsChild>
    </w:div>
    <w:div w:id="766972650">
      <w:bodyDiv w:val="1"/>
      <w:marLeft w:val="0"/>
      <w:marRight w:val="0"/>
      <w:marTop w:val="0"/>
      <w:marBottom w:val="0"/>
      <w:divBdr>
        <w:top w:val="none" w:sz="0" w:space="0" w:color="auto"/>
        <w:left w:val="none" w:sz="0" w:space="0" w:color="auto"/>
        <w:bottom w:val="none" w:sz="0" w:space="0" w:color="auto"/>
        <w:right w:val="none" w:sz="0" w:space="0" w:color="auto"/>
      </w:divBdr>
      <w:divsChild>
        <w:div w:id="1553423403">
          <w:marLeft w:val="547"/>
          <w:marRight w:val="0"/>
          <w:marTop w:val="120"/>
          <w:marBottom w:val="0"/>
          <w:divBdr>
            <w:top w:val="none" w:sz="0" w:space="0" w:color="auto"/>
            <w:left w:val="none" w:sz="0" w:space="0" w:color="auto"/>
            <w:bottom w:val="none" w:sz="0" w:space="0" w:color="auto"/>
            <w:right w:val="none" w:sz="0" w:space="0" w:color="auto"/>
          </w:divBdr>
        </w:div>
        <w:div w:id="254945960">
          <w:marLeft w:val="547"/>
          <w:marRight w:val="0"/>
          <w:marTop w:val="120"/>
          <w:marBottom w:val="0"/>
          <w:divBdr>
            <w:top w:val="none" w:sz="0" w:space="0" w:color="auto"/>
            <w:left w:val="none" w:sz="0" w:space="0" w:color="auto"/>
            <w:bottom w:val="none" w:sz="0" w:space="0" w:color="auto"/>
            <w:right w:val="none" w:sz="0" w:space="0" w:color="auto"/>
          </w:divBdr>
        </w:div>
        <w:div w:id="1203640733">
          <w:marLeft w:val="547"/>
          <w:marRight w:val="0"/>
          <w:marTop w:val="120"/>
          <w:marBottom w:val="0"/>
          <w:divBdr>
            <w:top w:val="none" w:sz="0" w:space="0" w:color="auto"/>
            <w:left w:val="none" w:sz="0" w:space="0" w:color="auto"/>
            <w:bottom w:val="none" w:sz="0" w:space="0" w:color="auto"/>
            <w:right w:val="none" w:sz="0" w:space="0" w:color="auto"/>
          </w:divBdr>
        </w:div>
      </w:divsChild>
    </w:div>
    <w:div w:id="988825140">
      <w:bodyDiv w:val="1"/>
      <w:marLeft w:val="0"/>
      <w:marRight w:val="0"/>
      <w:marTop w:val="0"/>
      <w:marBottom w:val="0"/>
      <w:divBdr>
        <w:top w:val="none" w:sz="0" w:space="0" w:color="auto"/>
        <w:left w:val="none" w:sz="0" w:space="0" w:color="auto"/>
        <w:bottom w:val="none" w:sz="0" w:space="0" w:color="auto"/>
        <w:right w:val="none" w:sz="0" w:space="0" w:color="auto"/>
      </w:divBdr>
    </w:div>
    <w:div w:id="1191184328">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797067929">
      <w:bodyDiv w:val="1"/>
      <w:marLeft w:val="0"/>
      <w:marRight w:val="0"/>
      <w:marTop w:val="0"/>
      <w:marBottom w:val="0"/>
      <w:divBdr>
        <w:top w:val="none" w:sz="0" w:space="0" w:color="auto"/>
        <w:left w:val="none" w:sz="0" w:space="0" w:color="auto"/>
        <w:bottom w:val="none" w:sz="0" w:space="0" w:color="auto"/>
        <w:right w:val="none" w:sz="0" w:space="0" w:color="auto"/>
      </w:divBdr>
      <w:divsChild>
        <w:div w:id="993602924">
          <w:marLeft w:val="547"/>
          <w:marRight w:val="0"/>
          <w:marTop w:val="120"/>
          <w:marBottom w:val="0"/>
          <w:divBdr>
            <w:top w:val="none" w:sz="0" w:space="0" w:color="auto"/>
            <w:left w:val="none" w:sz="0" w:space="0" w:color="auto"/>
            <w:bottom w:val="none" w:sz="0" w:space="0" w:color="auto"/>
            <w:right w:val="none" w:sz="0" w:space="0" w:color="auto"/>
          </w:divBdr>
        </w:div>
        <w:div w:id="1774667477">
          <w:marLeft w:val="547"/>
          <w:marRight w:val="0"/>
          <w:marTop w:val="120"/>
          <w:marBottom w:val="0"/>
          <w:divBdr>
            <w:top w:val="none" w:sz="0" w:space="0" w:color="auto"/>
            <w:left w:val="none" w:sz="0" w:space="0" w:color="auto"/>
            <w:bottom w:val="none" w:sz="0" w:space="0" w:color="auto"/>
            <w:right w:val="none" w:sz="0" w:space="0" w:color="auto"/>
          </w:divBdr>
        </w:div>
        <w:div w:id="1381630789">
          <w:marLeft w:val="547"/>
          <w:marRight w:val="0"/>
          <w:marTop w:val="120"/>
          <w:marBottom w:val="0"/>
          <w:divBdr>
            <w:top w:val="none" w:sz="0" w:space="0" w:color="auto"/>
            <w:left w:val="none" w:sz="0" w:space="0" w:color="auto"/>
            <w:bottom w:val="none" w:sz="0" w:space="0" w:color="auto"/>
            <w:right w:val="none" w:sz="0" w:space="0" w:color="auto"/>
          </w:divBdr>
        </w:div>
      </w:divsChild>
    </w:div>
    <w:div w:id="1938633450">
      <w:bodyDiv w:val="1"/>
      <w:marLeft w:val="0"/>
      <w:marRight w:val="0"/>
      <w:marTop w:val="0"/>
      <w:marBottom w:val="0"/>
      <w:divBdr>
        <w:top w:val="none" w:sz="0" w:space="0" w:color="auto"/>
        <w:left w:val="none" w:sz="0" w:space="0" w:color="auto"/>
        <w:bottom w:val="none" w:sz="0" w:space="0" w:color="auto"/>
        <w:right w:val="none" w:sz="0" w:space="0" w:color="auto"/>
      </w:divBdr>
    </w:div>
    <w:div w:id="1943948213">
      <w:bodyDiv w:val="1"/>
      <w:marLeft w:val="0"/>
      <w:marRight w:val="0"/>
      <w:marTop w:val="0"/>
      <w:marBottom w:val="0"/>
      <w:divBdr>
        <w:top w:val="none" w:sz="0" w:space="0" w:color="auto"/>
        <w:left w:val="none" w:sz="0" w:space="0" w:color="auto"/>
        <w:bottom w:val="none" w:sz="0" w:space="0" w:color="auto"/>
        <w:right w:val="none" w:sz="0" w:space="0" w:color="auto"/>
      </w:divBdr>
    </w:div>
    <w:div w:id="20909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cbr/brik-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dia@ncbr.gov.pl" TargetMode="External"/><Relationship Id="rId4" Type="http://schemas.openxmlformats.org/officeDocument/2006/relationships/settings" Target="settings.xml"/><Relationship Id="rId9" Type="http://schemas.openxmlformats.org/officeDocument/2006/relationships/hyperlink" Target="mailto:rzecznik@plk-s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6CD0-4E2D-4434-9362-8B870839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860</Words>
  <Characters>5162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Kolej na innowacje! PLK i NCBR ogłosiły II konkurs na projekty badawczo-rozwojowe</vt:lpstr>
    </vt:vector>
  </TitlesOfParts>
  <Company>PKP PLK S.A.</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na innowacje! PLK i NCBR ogłosiły II konkurs na projekty badawczo-rozwojowe</dc:title>
  <dc:subject/>
  <dc:creator>Magdalena.Janus@plk-sa.pl</dc:creator>
  <cp:keywords/>
  <dc:description/>
  <cp:lastModifiedBy>Miernikiewicz Izabela</cp:lastModifiedBy>
  <cp:revision>4</cp:revision>
  <dcterms:created xsi:type="dcterms:W3CDTF">2021-12-20T10:04:00Z</dcterms:created>
  <dcterms:modified xsi:type="dcterms:W3CDTF">2021-12-20T13:03:00Z</dcterms:modified>
</cp:coreProperties>
</file>