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7B10BBB1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127B6D">
        <w:rPr>
          <w:rFonts w:cs="Arial"/>
        </w:rPr>
        <w:t xml:space="preserve"> 21 maja </w:t>
      </w:r>
      <w:r>
        <w:rPr>
          <w:rFonts w:cs="Arial"/>
        </w:rPr>
        <w:t>202</w:t>
      </w:r>
      <w:r w:rsidR="00E61975">
        <w:rPr>
          <w:rFonts w:cs="Arial"/>
        </w:rPr>
        <w:t>5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37990A22" w14:textId="410B130F" w:rsidR="00385876" w:rsidRPr="00953E29" w:rsidRDefault="00385876" w:rsidP="00953E29">
      <w:pPr>
        <w:pStyle w:val="Nagwek1"/>
        <w:rPr>
          <w:sz w:val="22"/>
          <w:szCs w:val="22"/>
        </w:rPr>
      </w:pPr>
      <w:r w:rsidRPr="00953E29">
        <w:rPr>
          <w:sz w:val="22"/>
          <w:szCs w:val="22"/>
        </w:rPr>
        <w:t xml:space="preserve">PLK SA </w:t>
      </w:r>
      <w:r w:rsidR="003C1ED5" w:rsidRPr="00953E29">
        <w:rPr>
          <w:sz w:val="22"/>
          <w:szCs w:val="22"/>
        </w:rPr>
        <w:t>zakończył</w:t>
      </w:r>
      <w:r w:rsidR="00D0190A" w:rsidRPr="00953E29">
        <w:rPr>
          <w:sz w:val="22"/>
          <w:szCs w:val="22"/>
        </w:rPr>
        <w:t>a</w:t>
      </w:r>
      <w:r w:rsidR="003C1ED5" w:rsidRPr="00953E29">
        <w:rPr>
          <w:sz w:val="22"/>
          <w:szCs w:val="22"/>
        </w:rPr>
        <w:t xml:space="preserve"> projekty innowacyjne służące ograniczeniu</w:t>
      </w:r>
      <w:r w:rsidRPr="00953E29">
        <w:rPr>
          <w:sz w:val="22"/>
          <w:szCs w:val="22"/>
        </w:rPr>
        <w:t xml:space="preserve"> uciążliwości </w:t>
      </w:r>
      <w:r w:rsidR="003C1ED5" w:rsidRPr="00953E29">
        <w:rPr>
          <w:sz w:val="22"/>
          <w:szCs w:val="22"/>
        </w:rPr>
        <w:t xml:space="preserve">akustycznych </w:t>
      </w:r>
      <w:r w:rsidRPr="00953E29">
        <w:rPr>
          <w:sz w:val="22"/>
          <w:szCs w:val="22"/>
        </w:rPr>
        <w:t>i dynamiczn</w:t>
      </w:r>
      <w:r w:rsidR="003C1ED5" w:rsidRPr="00953E29">
        <w:rPr>
          <w:sz w:val="22"/>
          <w:szCs w:val="22"/>
        </w:rPr>
        <w:t>ych</w:t>
      </w:r>
      <w:r w:rsidRPr="00953E29">
        <w:rPr>
          <w:sz w:val="22"/>
          <w:szCs w:val="22"/>
        </w:rPr>
        <w:t> </w:t>
      </w:r>
    </w:p>
    <w:p w14:paraId="05269684" w14:textId="21F5A56A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b/>
          <w:bCs/>
          <w:color w:val="1A1A1A"/>
        </w:rPr>
        <w:t xml:space="preserve">Polskie Linie Kolejowe zawarły umowy licencyjne na bezterminowe korzystanie </w:t>
      </w:r>
      <w:r w:rsidR="00C23C53">
        <w:rPr>
          <w:rFonts w:cs="Arial"/>
          <w:b/>
          <w:bCs/>
          <w:color w:val="1A1A1A"/>
        </w:rPr>
        <w:t>i rozwijanie</w:t>
      </w:r>
      <w:r w:rsidRPr="00385876">
        <w:rPr>
          <w:rFonts w:cs="Arial"/>
          <w:b/>
          <w:bCs/>
          <w:color w:val="1A1A1A"/>
        </w:rPr>
        <w:t xml:space="preserve"> innowacyjnych </w:t>
      </w:r>
      <w:r w:rsidR="00C23C53">
        <w:rPr>
          <w:rFonts w:cs="Arial"/>
          <w:b/>
          <w:bCs/>
          <w:color w:val="1A1A1A"/>
        </w:rPr>
        <w:t xml:space="preserve">rozwiązań </w:t>
      </w:r>
      <w:r w:rsidRPr="00385876">
        <w:rPr>
          <w:rFonts w:cs="Arial"/>
          <w:b/>
          <w:bCs/>
          <w:color w:val="1A1A1A"/>
        </w:rPr>
        <w:t xml:space="preserve">w zakresie ochrony przed hałasem i drganiami. </w:t>
      </w:r>
      <w:r w:rsidR="00EA45E6">
        <w:rPr>
          <w:rFonts w:cs="Arial"/>
          <w:b/>
          <w:bCs/>
          <w:color w:val="1A1A1A"/>
        </w:rPr>
        <w:t>Opracowane s</w:t>
      </w:r>
      <w:r w:rsidRPr="00385876">
        <w:rPr>
          <w:rFonts w:cs="Arial"/>
          <w:b/>
          <w:bCs/>
          <w:color w:val="1A1A1A"/>
        </w:rPr>
        <w:t>zczegółowe wytyczne stanowi</w:t>
      </w:r>
      <w:r w:rsidR="00EA45E6">
        <w:rPr>
          <w:rFonts w:cs="Arial"/>
          <w:b/>
          <w:bCs/>
          <w:color w:val="1A1A1A"/>
        </w:rPr>
        <w:t>ć będą</w:t>
      </w:r>
      <w:r w:rsidRPr="00385876">
        <w:rPr>
          <w:rFonts w:cs="Arial"/>
          <w:b/>
          <w:bCs/>
          <w:color w:val="1A1A1A"/>
        </w:rPr>
        <w:t> fundament przyszłych inwestycji i działań mających na celu zmniejszenie uciążliwości związanych z ruchem kolejowym.</w:t>
      </w:r>
      <w:r w:rsidR="00EA45E6">
        <w:rPr>
          <w:rFonts w:cs="Arial"/>
          <w:b/>
          <w:bCs/>
          <w:color w:val="1A1A1A"/>
        </w:rPr>
        <w:t xml:space="preserve"> Opracowane na potrzeby określenia wytycznych p</w:t>
      </w:r>
      <w:r w:rsidR="00EA45E6" w:rsidRPr="00385876">
        <w:rPr>
          <w:rFonts w:cs="Arial"/>
          <w:b/>
          <w:bCs/>
          <w:color w:val="1A1A1A"/>
        </w:rPr>
        <w:t>rototypy urządzeń</w:t>
      </w:r>
      <w:r w:rsidR="00EA45E6">
        <w:rPr>
          <w:rFonts w:cs="Arial"/>
          <w:b/>
          <w:bCs/>
          <w:color w:val="1A1A1A"/>
        </w:rPr>
        <w:t xml:space="preserve"> stanowią wkład w</w:t>
      </w:r>
      <w:r w:rsidR="00EA45E6" w:rsidRPr="00385876">
        <w:rPr>
          <w:rFonts w:cs="Arial"/>
          <w:b/>
          <w:bCs/>
          <w:color w:val="1A1A1A"/>
        </w:rPr>
        <w:t> </w:t>
      </w:r>
      <w:r w:rsidR="00EA45E6">
        <w:rPr>
          <w:rFonts w:cs="Arial"/>
          <w:b/>
          <w:bCs/>
          <w:color w:val="1A1A1A"/>
        </w:rPr>
        <w:t>dalszy rozwój rozwiązań stosowanych na kolei.</w:t>
      </w:r>
      <w:r w:rsidR="00EA45E6" w:rsidRPr="00385876" w:rsidDel="00EA45E6">
        <w:rPr>
          <w:rFonts w:cs="Arial"/>
          <w:b/>
          <w:bCs/>
          <w:color w:val="1A1A1A"/>
        </w:rPr>
        <w:t xml:space="preserve"> </w:t>
      </w:r>
      <w:r w:rsidRPr="00385876">
        <w:rPr>
          <w:rFonts w:cs="Arial"/>
          <w:b/>
          <w:bCs/>
          <w:color w:val="1A1A1A"/>
        </w:rPr>
        <w:t>Wartość projektów to ponad 6 mln zł.  </w:t>
      </w:r>
      <w:r w:rsidRPr="00385876">
        <w:rPr>
          <w:rFonts w:cs="Arial"/>
          <w:color w:val="1A1A1A"/>
        </w:rPr>
        <w:t> </w:t>
      </w:r>
    </w:p>
    <w:p w14:paraId="4AA07CCE" w14:textId="5340D05F" w:rsidR="00424FDA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 xml:space="preserve">PLK SA </w:t>
      </w:r>
      <w:r w:rsidR="00C23C53">
        <w:rPr>
          <w:rFonts w:cs="Arial"/>
          <w:color w:val="1A1A1A"/>
        </w:rPr>
        <w:t>współpracuje</w:t>
      </w:r>
      <w:r w:rsidRPr="00385876">
        <w:rPr>
          <w:rFonts w:cs="Arial"/>
          <w:color w:val="1A1A1A"/>
        </w:rPr>
        <w:t xml:space="preserve"> z </w:t>
      </w:r>
      <w:proofErr w:type="spellStart"/>
      <w:r w:rsidRPr="00385876">
        <w:rPr>
          <w:rFonts w:cs="Arial"/>
          <w:color w:val="1A1A1A"/>
        </w:rPr>
        <w:t>NCBiR</w:t>
      </w:r>
      <w:proofErr w:type="spellEnd"/>
      <w:r w:rsidRPr="00385876">
        <w:rPr>
          <w:rFonts w:cs="Arial"/>
          <w:color w:val="1A1A1A"/>
        </w:rPr>
        <w:t xml:space="preserve"> od 2017 r., aby </w:t>
      </w:r>
      <w:r w:rsidR="00424FDA">
        <w:rPr>
          <w:rFonts w:cs="Arial"/>
          <w:color w:val="1A1A1A"/>
        </w:rPr>
        <w:t xml:space="preserve">zbadać skuteczność kilku rodzajów rozwiązań ograniczających hałas i wibracje </w:t>
      </w:r>
      <w:r w:rsidR="003C1ED5">
        <w:rPr>
          <w:rFonts w:cs="Arial"/>
          <w:color w:val="1A1A1A"/>
        </w:rPr>
        <w:t>u jego źródła</w:t>
      </w:r>
      <w:r w:rsidR="00424FDA">
        <w:rPr>
          <w:rFonts w:cs="Arial"/>
          <w:color w:val="1A1A1A"/>
        </w:rPr>
        <w:t xml:space="preserve"> </w:t>
      </w:r>
      <w:r w:rsidR="00F44189">
        <w:rPr>
          <w:rFonts w:cs="Arial"/>
          <w:color w:val="1A1A1A"/>
        </w:rPr>
        <w:t xml:space="preserve">oraz </w:t>
      </w:r>
      <w:r w:rsidR="002A2E3F">
        <w:rPr>
          <w:rFonts w:cs="Arial"/>
          <w:color w:val="1A1A1A"/>
        </w:rPr>
        <w:t xml:space="preserve">opracować </w:t>
      </w:r>
      <w:r w:rsidR="00424FDA">
        <w:rPr>
          <w:rFonts w:cs="Arial"/>
          <w:color w:val="1A1A1A"/>
        </w:rPr>
        <w:t>w</w:t>
      </w:r>
      <w:r w:rsidR="002A2E3F">
        <w:rPr>
          <w:rFonts w:cs="Arial"/>
          <w:color w:val="1A1A1A"/>
        </w:rPr>
        <w:t xml:space="preserve">ytyczne </w:t>
      </w:r>
      <w:r w:rsidR="00424FDA" w:rsidRPr="00424FDA">
        <w:rPr>
          <w:rFonts w:cs="Arial"/>
          <w:color w:val="1A1A1A"/>
        </w:rPr>
        <w:t xml:space="preserve">określające skuteczność </w:t>
      </w:r>
      <w:r w:rsidR="00424FDA">
        <w:rPr>
          <w:rFonts w:cs="Arial"/>
          <w:color w:val="1A1A1A"/>
        </w:rPr>
        <w:t xml:space="preserve">wprowadzanych nowych </w:t>
      </w:r>
      <w:r w:rsidR="00424FDA" w:rsidRPr="00424FDA">
        <w:rPr>
          <w:rFonts w:cs="Arial"/>
          <w:color w:val="1A1A1A"/>
        </w:rPr>
        <w:t xml:space="preserve">rozwiązań </w:t>
      </w:r>
      <w:r w:rsidR="00253BF8">
        <w:rPr>
          <w:rFonts w:cs="Arial"/>
          <w:color w:val="1A1A1A"/>
        </w:rPr>
        <w:t>i</w:t>
      </w:r>
      <w:r w:rsidR="00424FDA" w:rsidRPr="00424FDA">
        <w:rPr>
          <w:rFonts w:cs="Arial"/>
          <w:color w:val="1A1A1A"/>
        </w:rPr>
        <w:t xml:space="preserve"> zakres</w:t>
      </w:r>
      <w:r w:rsidR="00424FDA">
        <w:rPr>
          <w:rFonts w:cs="Arial"/>
          <w:color w:val="1A1A1A"/>
        </w:rPr>
        <w:t xml:space="preserve"> ich</w:t>
      </w:r>
      <w:r w:rsidR="00424FDA" w:rsidRPr="00424FDA">
        <w:rPr>
          <w:rFonts w:cs="Arial"/>
          <w:color w:val="1A1A1A"/>
        </w:rPr>
        <w:t xml:space="preserve"> stosowania </w:t>
      </w:r>
      <w:r w:rsidR="00543D26">
        <w:rPr>
          <w:rFonts w:cs="Arial"/>
          <w:color w:val="1A1A1A"/>
        </w:rPr>
        <w:t>(</w:t>
      </w:r>
      <w:r w:rsidR="00424FDA" w:rsidRPr="00424FDA">
        <w:rPr>
          <w:rFonts w:cs="Arial"/>
          <w:color w:val="1A1A1A"/>
        </w:rPr>
        <w:t>adekwatn</w:t>
      </w:r>
      <w:r w:rsidR="00424FDA">
        <w:rPr>
          <w:rFonts w:cs="Arial"/>
          <w:color w:val="1A1A1A"/>
        </w:rPr>
        <w:t>ie</w:t>
      </w:r>
      <w:r w:rsidR="00424FDA" w:rsidRPr="00424FDA">
        <w:rPr>
          <w:rFonts w:cs="Arial"/>
          <w:color w:val="1A1A1A"/>
        </w:rPr>
        <w:t xml:space="preserve"> do skali przekroczeń</w:t>
      </w:r>
      <w:r w:rsidR="00543D26">
        <w:rPr>
          <w:rFonts w:cs="Arial"/>
          <w:color w:val="1A1A1A"/>
        </w:rPr>
        <w:t>)</w:t>
      </w:r>
      <w:r w:rsidR="00424FDA" w:rsidRPr="00424FDA">
        <w:rPr>
          <w:rFonts w:cs="Arial"/>
          <w:color w:val="1A1A1A"/>
        </w:rPr>
        <w:t>.</w:t>
      </w:r>
    </w:p>
    <w:p w14:paraId="34690977" w14:textId="78C8E170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 xml:space="preserve">W wyniku </w:t>
      </w:r>
      <w:r w:rsidR="002C417C">
        <w:rPr>
          <w:rFonts w:cs="Arial"/>
          <w:color w:val="1A1A1A"/>
        </w:rPr>
        <w:t>realizacji dwóch projektów</w:t>
      </w:r>
      <w:r w:rsidR="002C417C" w:rsidRPr="00385876">
        <w:rPr>
          <w:rFonts w:cs="Arial"/>
          <w:color w:val="1A1A1A"/>
        </w:rPr>
        <w:t xml:space="preserve"> </w:t>
      </w:r>
      <w:r w:rsidRPr="00385876">
        <w:rPr>
          <w:rFonts w:cs="Arial"/>
          <w:color w:val="1A1A1A"/>
        </w:rPr>
        <w:t xml:space="preserve">– powstały </w:t>
      </w:r>
      <w:r w:rsidR="00543D26">
        <w:rPr>
          <w:rFonts w:cs="Arial"/>
          <w:color w:val="1A1A1A"/>
        </w:rPr>
        <w:t>też</w:t>
      </w:r>
      <w:r w:rsidR="002C417C" w:rsidRPr="002C417C">
        <w:rPr>
          <w:rFonts w:cs="Arial"/>
          <w:color w:val="1A1A1A"/>
        </w:rPr>
        <w:t xml:space="preserve"> produkty objęte ochroną patentową</w:t>
      </w:r>
      <w:r w:rsidRPr="00385876">
        <w:rPr>
          <w:rFonts w:cs="Arial"/>
          <w:color w:val="1A1A1A"/>
        </w:rPr>
        <w:t xml:space="preserve">, które mają szansę w przyszłości na szerokie zastosowanie w branży kolejowej. Należą do nich: </w:t>
      </w:r>
      <w:r w:rsidRPr="00385876">
        <w:rPr>
          <w:rFonts w:cs="Arial"/>
          <w:b/>
          <w:bCs/>
          <w:color w:val="1A1A1A"/>
        </w:rPr>
        <w:t xml:space="preserve">mata tłumiąca, podkładka </w:t>
      </w:r>
      <w:proofErr w:type="spellStart"/>
      <w:r w:rsidRPr="00385876">
        <w:rPr>
          <w:rFonts w:cs="Arial"/>
          <w:b/>
          <w:bCs/>
          <w:color w:val="1A1A1A"/>
        </w:rPr>
        <w:t>podpodkładowa</w:t>
      </w:r>
      <w:proofErr w:type="spellEnd"/>
      <w:r w:rsidRPr="00385876">
        <w:rPr>
          <w:rFonts w:cs="Arial"/>
          <w:color w:val="1A1A1A"/>
        </w:rPr>
        <w:t xml:space="preserve"> oraz </w:t>
      </w:r>
      <w:r w:rsidRPr="00385876">
        <w:rPr>
          <w:rFonts w:cs="Arial"/>
          <w:b/>
          <w:bCs/>
          <w:color w:val="1A1A1A"/>
        </w:rPr>
        <w:t xml:space="preserve">tłumik </w:t>
      </w:r>
      <w:proofErr w:type="spellStart"/>
      <w:r w:rsidRPr="00385876">
        <w:rPr>
          <w:rFonts w:cs="Arial"/>
          <w:b/>
          <w:bCs/>
          <w:color w:val="1A1A1A"/>
        </w:rPr>
        <w:t>przyszynowy</w:t>
      </w:r>
      <w:proofErr w:type="spellEnd"/>
      <w:r w:rsidRPr="00385876">
        <w:rPr>
          <w:rFonts w:cs="Arial"/>
          <w:b/>
          <w:bCs/>
          <w:color w:val="1A1A1A"/>
        </w:rPr>
        <w:t>.</w:t>
      </w:r>
      <w:r w:rsidRPr="00385876">
        <w:rPr>
          <w:rFonts w:cs="Arial"/>
          <w:color w:val="1A1A1A"/>
        </w:rPr>
        <w:t> </w:t>
      </w:r>
      <w:r w:rsidR="002C417C">
        <w:rPr>
          <w:rFonts w:cs="Arial"/>
          <w:color w:val="1A1A1A"/>
        </w:rPr>
        <w:t>Projekty realizowane były przez dwa konsorcja, których liderem była Politechnika Warszawska.</w:t>
      </w:r>
    </w:p>
    <w:p w14:paraId="3C9CE6F5" w14:textId="179F9418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W ramach pierwszego z projektów</w:t>
      </w:r>
      <w:r w:rsidR="00157BFB">
        <w:rPr>
          <w:rFonts w:cs="Arial"/>
          <w:color w:val="1A1A1A"/>
        </w:rPr>
        <w:t xml:space="preserve"> </w:t>
      </w:r>
      <w:r w:rsidRPr="00385876">
        <w:rPr>
          <w:rFonts w:cs="Arial"/>
          <w:color w:val="1A1A1A"/>
        </w:rPr>
        <w:t>opracowano próbki/prototypy </w:t>
      </w:r>
      <w:r w:rsidR="00B3767E">
        <w:rPr>
          <w:rFonts w:cs="Arial"/>
          <w:color w:val="1A1A1A"/>
        </w:rPr>
        <w:t xml:space="preserve">czterech rodzajów </w:t>
      </w:r>
      <w:r w:rsidR="00A314E9">
        <w:rPr>
          <w:rFonts w:cs="Arial"/>
          <w:color w:val="1A1A1A"/>
        </w:rPr>
        <w:t>rozwiązań</w:t>
      </w:r>
      <w:r w:rsidR="00A314E9" w:rsidRPr="00385876">
        <w:rPr>
          <w:rFonts w:cs="Arial"/>
          <w:color w:val="1A1A1A"/>
        </w:rPr>
        <w:t xml:space="preserve"> antywibracyjn</w:t>
      </w:r>
      <w:r w:rsidR="00A314E9">
        <w:rPr>
          <w:rFonts w:cs="Arial"/>
          <w:color w:val="1A1A1A"/>
        </w:rPr>
        <w:t>ych</w:t>
      </w:r>
      <w:r w:rsidR="005F5AC4">
        <w:rPr>
          <w:rFonts w:cs="Arial"/>
          <w:color w:val="1A1A1A"/>
        </w:rPr>
        <w:t>,</w:t>
      </w:r>
      <w:r w:rsidR="00F44189">
        <w:rPr>
          <w:rFonts w:cs="Arial"/>
          <w:color w:val="1A1A1A"/>
        </w:rPr>
        <w:t xml:space="preserve"> </w:t>
      </w:r>
      <w:r w:rsidR="005F5AC4">
        <w:rPr>
          <w:rFonts w:cs="Arial"/>
          <w:color w:val="1A1A1A"/>
        </w:rPr>
        <w:t xml:space="preserve">w tym opatentowany prototyp maty tłumiącej. </w:t>
      </w:r>
      <w:r w:rsidRPr="00385876">
        <w:rPr>
          <w:rFonts w:cs="Arial"/>
          <w:color w:val="1A1A1A"/>
        </w:rPr>
        <w:t>Opracowana innowacyjna metoda produkcji mat</w:t>
      </w:r>
      <w:r w:rsidR="00A314E9">
        <w:rPr>
          <w:rFonts w:cs="Arial"/>
          <w:color w:val="1A1A1A"/>
        </w:rPr>
        <w:t>y</w:t>
      </w:r>
      <w:r w:rsidRPr="00385876">
        <w:rPr>
          <w:rFonts w:cs="Arial"/>
          <w:color w:val="1A1A1A"/>
        </w:rPr>
        <w:t xml:space="preserve"> </w:t>
      </w:r>
      <w:r w:rsidR="005F5AC4">
        <w:rPr>
          <w:rFonts w:cs="Arial"/>
          <w:color w:val="1A1A1A"/>
        </w:rPr>
        <w:t>(w</w:t>
      </w:r>
      <w:r w:rsidR="005F5AC4" w:rsidRPr="005F5AC4">
        <w:rPr>
          <w:rFonts w:cs="Arial"/>
          <w:color w:val="1A1A1A"/>
        </w:rPr>
        <w:t>arstwa wewnętrzna podzielona przegrodami</w:t>
      </w:r>
      <w:r w:rsidR="00976B9D">
        <w:rPr>
          <w:rFonts w:cs="Arial"/>
          <w:color w:val="1A1A1A"/>
        </w:rPr>
        <w:t>,</w:t>
      </w:r>
      <w:r w:rsidR="005F5AC4" w:rsidRPr="005F5AC4">
        <w:rPr>
          <w:rFonts w:cs="Arial"/>
          <w:color w:val="1A1A1A"/>
        </w:rPr>
        <w:t xml:space="preserve"> wypełniona luźnym materiałem np. ścinki/wióry z recyklingu opon samochodowych</w:t>
      </w:r>
      <w:r w:rsidR="005F5AC4">
        <w:rPr>
          <w:rFonts w:cs="Arial"/>
          <w:color w:val="1A1A1A"/>
        </w:rPr>
        <w:t>)</w:t>
      </w:r>
      <w:r w:rsidR="005F5AC4" w:rsidRPr="005F5AC4">
        <w:rPr>
          <w:rFonts w:cs="Arial"/>
          <w:color w:val="1A1A1A"/>
        </w:rPr>
        <w:t xml:space="preserve"> </w:t>
      </w:r>
      <w:r w:rsidRPr="00385876">
        <w:rPr>
          <w:rFonts w:cs="Arial"/>
          <w:color w:val="1A1A1A"/>
        </w:rPr>
        <w:t xml:space="preserve">ma na celu skuteczne tłumienie drgań powstających wskutek </w:t>
      </w:r>
      <w:r w:rsidR="00C23C53">
        <w:rPr>
          <w:rFonts w:cs="Arial"/>
          <w:color w:val="1A1A1A"/>
        </w:rPr>
        <w:t>przejazdu</w:t>
      </w:r>
      <w:r w:rsidRPr="00385876">
        <w:rPr>
          <w:rFonts w:cs="Arial"/>
          <w:color w:val="1A1A1A"/>
        </w:rPr>
        <w:t xml:space="preserve"> pociągów</w:t>
      </w:r>
      <w:r w:rsidR="005F5AC4">
        <w:rPr>
          <w:rFonts w:cs="Arial"/>
          <w:color w:val="1A1A1A"/>
        </w:rPr>
        <w:t>.</w:t>
      </w:r>
      <w:r w:rsidRPr="00385876">
        <w:rPr>
          <w:rFonts w:cs="Arial"/>
          <w:color w:val="1A1A1A"/>
        </w:rPr>
        <w:t xml:space="preserve"> Zbadano skuteczność </w:t>
      </w:r>
      <w:r w:rsidR="00543D26">
        <w:rPr>
          <w:rFonts w:cs="Arial"/>
          <w:color w:val="1A1A1A"/>
        </w:rPr>
        <w:t>ww.</w:t>
      </w:r>
      <w:r w:rsidR="00F44189">
        <w:rPr>
          <w:rFonts w:cs="Arial"/>
          <w:color w:val="1A1A1A"/>
        </w:rPr>
        <w:t xml:space="preserve"> </w:t>
      </w:r>
      <w:r w:rsidR="00976B9D">
        <w:rPr>
          <w:rFonts w:cs="Arial"/>
          <w:color w:val="1A1A1A"/>
        </w:rPr>
        <w:t>rozwiązań</w:t>
      </w:r>
      <w:r w:rsidR="00976B9D" w:rsidRPr="00385876">
        <w:rPr>
          <w:rFonts w:cs="Arial"/>
          <w:color w:val="1A1A1A"/>
        </w:rPr>
        <w:t xml:space="preserve"> </w:t>
      </w:r>
      <w:r w:rsidRPr="00385876">
        <w:rPr>
          <w:rFonts w:cs="Arial"/>
          <w:color w:val="1A1A1A"/>
        </w:rPr>
        <w:t xml:space="preserve">w zakresie ograniczenia poziomu </w:t>
      </w:r>
      <w:r w:rsidR="0011682F">
        <w:rPr>
          <w:rFonts w:cs="Arial"/>
          <w:color w:val="1A1A1A"/>
        </w:rPr>
        <w:t>wibracji</w:t>
      </w:r>
      <w:r w:rsidRPr="00385876">
        <w:rPr>
          <w:rFonts w:cs="Arial"/>
          <w:color w:val="1A1A1A"/>
        </w:rPr>
        <w:t xml:space="preserve"> przenoszonych z torów na budynki oraz na ludzi przebywających w budynkach. Wykonano również badania laboratoryjne trwałości eksploatacyjnej, m.in. trwałości materiałów i ich odporność na warunki atmosferyczne, </w:t>
      </w:r>
      <w:r w:rsidR="00976B9D">
        <w:rPr>
          <w:rFonts w:cs="Arial"/>
          <w:color w:val="1A1A1A"/>
        </w:rPr>
        <w:t>poprzedzone zaawansowanym modelowaniem zachowania się materiałów w różnych warunkach</w:t>
      </w:r>
      <w:r w:rsidRPr="00385876">
        <w:rPr>
          <w:rFonts w:cs="Arial"/>
          <w:color w:val="1A1A1A"/>
        </w:rPr>
        <w:t xml:space="preserve">. </w:t>
      </w:r>
    </w:p>
    <w:p w14:paraId="6A551ED7" w14:textId="60010ACC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Podobne założenia przyjęto w drugim projekcie</w:t>
      </w:r>
      <w:r w:rsidR="002C545A">
        <w:rPr>
          <w:rFonts w:cs="Arial"/>
          <w:color w:val="1A1A1A"/>
        </w:rPr>
        <w:t>, w</w:t>
      </w:r>
      <w:r w:rsidR="002C545A" w:rsidRPr="002C545A">
        <w:rPr>
          <w:rFonts w:cs="Arial"/>
          <w:color w:val="1A1A1A"/>
        </w:rPr>
        <w:t xml:space="preserve"> ramach </w:t>
      </w:r>
      <w:r w:rsidR="002C545A">
        <w:rPr>
          <w:rFonts w:cs="Arial"/>
          <w:color w:val="1A1A1A"/>
        </w:rPr>
        <w:t>którego</w:t>
      </w:r>
      <w:r w:rsidR="002C545A" w:rsidRPr="002C545A">
        <w:rPr>
          <w:rFonts w:cs="Arial"/>
          <w:color w:val="1A1A1A"/>
        </w:rPr>
        <w:t xml:space="preserve"> opracowano prototypy rozwiązań ograniczających poziom hałasu pochodzącego od ruchu kolejowego</w:t>
      </w:r>
      <w:r w:rsidRPr="00385876">
        <w:rPr>
          <w:rFonts w:cs="Arial"/>
          <w:color w:val="1A1A1A"/>
        </w:rPr>
        <w:t>. Z</w:t>
      </w:r>
      <w:r w:rsidR="002C545A">
        <w:rPr>
          <w:rFonts w:cs="Arial"/>
          <w:color w:val="1A1A1A"/>
        </w:rPr>
        <w:t>a pomocą analiz numerycznych z</w:t>
      </w:r>
      <w:r w:rsidRPr="00385876">
        <w:rPr>
          <w:rFonts w:cs="Arial"/>
          <w:color w:val="1A1A1A"/>
        </w:rPr>
        <w:t>optymalizowano parametry geometryczne i materiałowe</w:t>
      </w:r>
      <w:r w:rsidR="00157BFB">
        <w:rPr>
          <w:rFonts w:cs="Arial"/>
          <w:color w:val="1A1A1A"/>
        </w:rPr>
        <w:t>,</w:t>
      </w:r>
      <w:r w:rsidRPr="00385876">
        <w:rPr>
          <w:rFonts w:cs="Arial"/>
          <w:color w:val="1A1A1A"/>
        </w:rPr>
        <w:t xml:space="preserve"> </w:t>
      </w:r>
      <w:r w:rsidR="00A02185">
        <w:rPr>
          <w:rFonts w:cs="Arial"/>
          <w:color w:val="1A1A1A"/>
        </w:rPr>
        <w:t>a następnie</w:t>
      </w:r>
      <w:r w:rsidR="00A02185" w:rsidRPr="00385876">
        <w:rPr>
          <w:rFonts w:cs="Arial"/>
          <w:color w:val="1A1A1A"/>
        </w:rPr>
        <w:t xml:space="preserve"> </w:t>
      </w:r>
      <w:r w:rsidRPr="00385876">
        <w:rPr>
          <w:rFonts w:cs="Arial"/>
          <w:color w:val="1A1A1A"/>
        </w:rPr>
        <w:t xml:space="preserve">przeprowadzono badania skuteczności </w:t>
      </w:r>
      <w:r w:rsidR="00A02185">
        <w:rPr>
          <w:rFonts w:cs="Arial"/>
          <w:color w:val="1A1A1A"/>
        </w:rPr>
        <w:t>absorberów (</w:t>
      </w:r>
      <w:r w:rsidRPr="00385876">
        <w:rPr>
          <w:rFonts w:cs="Arial"/>
          <w:color w:val="1A1A1A"/>
        </w:rPr>
        <w:t>tłumików</w:t>
      </w:r>
      <w:r w:rsidR="00A02185">
        <w:rPr>
          <w:rFonts w:cs="Arial"/>
          <w:color w:val="1A1A1A"/>
        </w:rPr>
        <w:t>)</w:t>
      </w:r>
      <w:r w:rsidRPr="00385876">
        <w:rPr>
          <w:rFonts w:cs="Arial"/>
          <w:color w:val="1A1A1A"/>
        </w:rPr>
        <w:t xml:space="preserve"> </w:t>
      </w:r>
      <w:proofErr w:type="spellStart"/>
      <w:r w:rsidRPr="00385876">
        <w:rPr>
          <w:rFonts w:cs="Arial"/>
          <w:color w:val="1A1A1A"/>
        </w:rPr>
        <w:t>przyszynowych</w:t>
      </w:r>
      <w:proofErr w:type="spellEnd"/>
      <w:r w:rsidRPr="00385876">
        <w:rPr>
          <w:rFonts w:cs="Arial"/>
          <w:color w:val="1A1A1A"/>
        </w:rPr>
        <w:t xml:space="preserve"> i torowych, w tym badania na specjalnie przygotowanym przez Laboratorium Wydziału Inżynierii Lądowej Politechniki Warszawskiej poligonie oraz na odcinku linii kolejowej nr 9 w okolicach Nowego Dworu Mazowieckiego i Pomiechówka. Pomiary hałasu wykonane na czynnej linii kolejowej (podczas rzeczywistych przejazdów pociągów) pozwoliły na ocenę efektywności </w:t>
      </w:r>
      <w:r w:rsidR="00A02185">
        <w:rPr>
          <w:rFonts w:cs="Arial"/>
          <w:color w:val="1A1A1A"/>
        </w:rPr>
        <w:t>ww. rozwi</w:t>
      </w:r>
      <w:r w:rsidR="00F44189">
        <w:rPr>
          <w:rFonts w:cs="Arial"/>
          <w:color w:val="1A1A1A"/>
        </w:rPr>
        <w:t>ą</w:t>
      </w:r>
      <w:r w:rsidR="00A02185">
        <w:rPr>
          <w:rFonts w:cs="Arial"/>
          <w:color w:val="1A1A1A"/>
        </w:rPr>
        <w:t>zań</w:t>
      </w:r>
      <w:r w:rsidRPr="00385876">
        <w:rPr>
          <w:rFonts w:cs="Arial"/>
          <w:color w:val="1A1A1A"/>
        </w:rPr>
        <w:t xml:space="preserve">. </w:t>
      </w:r>
    </w:p>
    <w:p w14:paraId="5E8D1624" w14:textId="77777777" w:rsidR="00385876" w:rsidRPr="00385876" w:rsidRDefault="00385876" w:rsidP="00953E29">
      <w:pPr>
        <w:pStyle w:val="Nagwek2"/>
      </w:pPr>
      <w:r w:rsidRPr="00385876">
        <w:lastRenderedPageBreak/>
        <w:t>Wytyczne dla przyszłych inwestycji </w:t>
      </w:r>
    </w:p>
    <w:p w14:paraId="65973C77" w14:textId="7EFC7735" w:rsidR="00385876" w:rsidRPr="00385876" w:rsidRDefault="00A02185" w:rsidP="00385876">
      <w:pPr>
        <w:spacing w:before="120" w:after="12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 xml:space="preserve">Kluczowym </w:t>
      </w:r>
      <w:r w:rsidR="00AE500D">
        <w:rPr>
          <w:rFonts w:cs="Arial"/>
          <w:color w:val="1A1A1A"/>
        </w:rPr>
        <w:t>efektem</w:t>
      </w:r>
      <w:r w:rsidR="00385876" w:rsidRPr="00385876">
        <w:rPr>
          <w:rFonts w:cs="Arial"/>
          <w:color w:val="1A1A1A"/>
        </w:rPr>
        <w:t xml:space="preserve"> obu projektów są stworzone wytyczne, określające </w:t>
      </w:r>
      <w:r>
        <w:rPr>
          <w:rFonts w:cs="Arial"/>
          <w:color w:val="1A1A1A"/>
        </w:rPr>
        <w:t xml:space="preserve">wymaganą </w:t>
      </w:r>
      <w:r w:rsidR="00385876" w:rsidRPr="00385876">
        <w:rPr>
          <w:rFonts w:cs="Arial"/>
          <w:color w:val="1A1A1A"/>
        </w:rPr>
        <w:t>skuteczność nowych rozwiązań oraz zakres ich stosowania, które pozwolą na zmniejszenie kosztów eksploatacyjnych</w:t>
      </w:r>
      <w:r w:rsidR="00013F82" w:rsidRPr="00013F82">
        <w:rPr>
          <w:rFonts w:cs="Arial"/>
          <w:color w:val="1A1A1A"/>
        </w:rPr>
        <w:t>, poprzez właściwy dobór środków minimalizujących adekwatnych do skali przekroczeń dopuszczalnych wartości poziomu hałasu</w:t>
      </w:r>
      <w:r w:rsidR="00013F82">
        <w:rPr>
          <w:rFonts w:cs="Arial"/>
          <w:color w:val="1A1A1A"/>
        </w:rPr>
        <w:t xml:space="preserve"> i drgań</w:t>
      </w:r>
      <w:r w:rsidR="00385876" w:rsidRPr="00385876">
        <w:rPr>
          <w:rFonts w:cs="Arial"/>
          <w:color w:val="1A1A1A"/>
        </w:rPr>
        <w:t xml:space="preserve">. Wytyczne </w:t>
      </w:r>
      <w:r w:rsidR="00013F82">
        <w:rPr>
          <w:rFonts w:cs="Arial"/>
          <w:color w:val="1A1A1A"/>
        </w:rPr>
        <w:t>–</w:t>
      </w:r>
      <w:r w:rsidR="00385876" w:rsidRPr="00385876">
        <w:rPr>
          <w:rFonts w:cs="Arial"/>
          <w:color w:val="1A1A1A"/>
        </w:rPr>
        <w:t>uwzględniają</w:t>
      </w:r>
      <w:r w:rsidR="00013F82">
        <w:rPr>
          <w:rFonts w:cs="Arial"/>
          <w:color w:val="1A1A1A"/>
        </w:rPr>
        <w:t xml:space="preserve"> wymagane/zalecane</w:t>
      </w:r>
      <w:r w:rsidR="00385876" w:rsidRPr="00385876">
        <w:rPr>
          <w:rFonts w:cs="Arial"/>
          <w:color w:val="1A1A1A"/>
        </w:rPr>
        <w:t xml:space="preserve"> parametry techniczne, tj. rodzaj podłoża, grubość mat czy rodzaj materiału używanego do produkcji tłumików. Dzięki tym wytycznym </w:t>
      </w:r>
      <w:r w:rsidR="00253BF8">
        <w:rPr>
          <w:rFonts w:cs="Arial"/>
          <w:color w:val="1A1A1A"/>
        </w:rPr>
        <w:t>Polskie Linie Kolejowe</w:t>
      </w:r>
      <w:r w:rsidR="00385876" w:rsidRPr="00385876">
        <w:rPr>
          <w:rFonts w:cs="Arial"/>
          <w:color w:val="1A1A1A"/>
        </w:rPr>
        <w:t xml:space="preserve"> będą mogły w przyszłości skutecznie </w:t>
      </w:r>
      <w:r w:rsidR="00E959B7">
        <w:rPr>
          <w:rFonts w:cs="Arial"/>
          <w:color w:val="1A1A1A"/>
        </w:rPr>
        <w:t>wdrażać r</w:t>
      </w:r>
      <w:r w:rsidR="00385876" w:rsidRPr="00385876">
        <w:rPr>
          <w:rFonts w:cs="Arial"/>
          <w:color w:val="1A1A1A"/>
        </w:rPr>
        <w:t>ozwiązania na liniach kolejowych, przy jednoczesnym zapewnieniu zgodności z obowiązującymi normami. </w:t>
      </w:r>
    </w:p>
    <w:p w14:paraId="75F795D1" w14:textId="77777777" w:rsidR="00385876" w:rsidRPr="00385876" w:rsidRDefault="00385876" w:rsidP="00953E29">
      <w:pPr>
        <w:pStyle w:val="Nagwek2"/>
      </w:pPr>
      <w:r w:rsidRPr="00385876">
        <w:t>Licencje na przyszłość </w:t>
      </w:r>
    </w:p>
    <w:p w14:paraId="77236A77" w14:textId="77777777" w:rsidR="00E959B7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Zawarcie dwóch umów licencyjnych to istotny krok w kierunku szerokiego wdrożenia wyników projektów w praktyce. Dzięki nim możliwe będzie bezterminowe, nieodpłatne i otwarte wykorzystanie opracowanych rozwiązań przy zachowaniu praw autorskich i produkcyjnych przez konsorcja realizujące ww. projekty. Łączna wartość zrealizowanych projektów to ponad 6 mln zł. Znaczenie i wartość pracy wykonanej przez zespół Konsorcjum podkreślają liczne nagrody naukowe, przyznane na podstawie zrealizowanych inicjatyw jak i szereg związanych z nimi publikacji naukowych.</w:t>
      </w:r>
    </w:p>
    <w:p w14:paraId="363B650B" w14:textId="7F8CE124" w:rsidR="00385876" w:rsidRPr="00385876" w:rsidRDefault="00E959B7" w:rsidP="00385876">
      <w:pPr>
        <w:spacing w:before="120" w:after="120" w:line="360" w:lineRule="auto"/>
        <w:rPr>
          <w:rFonts w:cs="Arial"/>
          <w:color w:val="1A1A1A"/>
        </w:rPr>
      </w:pPr>
      <w:r w:rsidRPr="00E959B7">
        <w:rPr>
          <w:rFonts w:cs="Arial"/>
          <w:color w:val="1A1A1A"/>
        </w:rPr>
        <w:t>Wypracowane rozwiązania nie byłyby możliwe bez aktywnego udziału Politechniki Warszawskiej, której zaangażowanie, jako lidera konsorcjum, miało kluczowe znaczenie dla realizacji tych projektów.</w:t>
      </w:r>
    </w:p>
    <w:p w14:paraId="49B6C704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b/>
          <w:bCs/>
          <w:color w:val="1A1A1A"/>
        </w:rPr>
        <w:t>Kontakt dla mediów:</w:t>
      </w:r>
      <w:r w:rsidRPr="00385876">
        <w:rPr>
          <w:rFonts w:cs="Arial"/>
          <w:color w:val="1A1A1A"/>
        </w:rPr>
        <w:t> </w:t>
      </w:r>
    </w:p>
    <w:p w14:paraId="03FDBA7A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Joanna Kursa </w:t>
      </w:r>
    </w:p>
    <w:p w14:paraId="37E77B84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zespół prasowy </w:t>
      </w:r>
    </w:p>
    <w:p w14:paraId="467A3C56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PKP Polskie Linie Kolejowe S.A. </w:t>
      </w:r>
    </w:p>
    <w:p w14:paraId="5A6990B9" w14:textId="77777777" w:rsidR="00385876" w:rsidRPr="00385876" w:rsidRDefault="00000000" w:rsidP="00385876">
      <w:pPr>
        <w:spacing w:before="120" w:after="120" w:line="360" w:lineRule="auto"/>
        <w:rPr>
          <w:rFonts w:cs="Arial"/>
          <w:color w:val="1A1A1A"/>
        </w:rPr>
      </w:pPr>
      <w:hyperlink r:id="rId8" w:tgtFrame="_blank" w:history="1">
        <w:r w:rsidR="00385876" w:rsidRPr="00385876">
          <w:rPr>
            <w:rStyle w:val="Hipercze"/>
            <w:rFonts w:cs="Arial"/>
          </w:rPr>
          <w:t>rzecznik@plk-sa.pl</w:t>
        </w:r>
      </w:hyperlink>
      <w:r w:rsidR="00385876" w:rsidRPr="00385876">
        <w:rPr>
          <w:rFonts w:cs="Arial"/>
          <w:color w:val="1A1A1A"/>
        </w:rPr>
        <w:t> </w:t>
      </w:r>
    </w:p>
    <w:p w14:paraId="1EE1EF1D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5C9EE035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D05C" w14:textId="77777777" w:rsidR="009F4E9D" w:rsidRDefault="009F4E9D" w:rsidP="009D1AEB">
      <w:pPr>
        <w:spacing w:after="0" w:line="240" w:lineRule="auto"/>
      </w:pPr>
      <w:r>
        <w:separator/>
      </w:r>
    </w:p>
  </w:endnote>
  <w:endnote w:type="continuationSeparator" w:id="0">
    <w:p w14:paraId="39BECDB1" w14:textId="77777777" w:rsidR="009F4E9D" w:rsidRDefault="009F4E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3E5A74BF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E11EA8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E11EA8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BEEE" w14:textId="77777777" w:rsidR="009F4E9D" w:rsidRDefault="009F4E9D" w:rsidP="009D1AEB">
      <w:pPr>
        <w:spacing w:after="0" w:line="240" w:lineRule="auto"/>
      </w:pPr>
      <w:r>
        <w:separator/>
      </w:r>
    </w:p>
  </w:footnote>
  <w:footnote w:type="continuationSeparator" w:id="0">
    <w:p w14:paraId="62D681C8" w14:textId="77777777" w:rsidR="009F4E9D" w:rsidRDefault="009F4E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4"/>
  </w:num>
  <w:num w:numId="4" w16cid:durableId="756484919">
    <w:abstractNumId w:val="2"/>
  </w:num>
  <w:num w:numId="5" w16cid:durableId="125825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20721"/>
    <w:rsid w:val="0002099C"/>
    <w:rsid w:val="0002391F"/>
    <w:rsid w:val="000318D3"/>
    <w:rsid w:val="0003633C"/>
    <w:rsid w:val="00037B65"/>
    <w:rsid w:val="00043428"/>
    <w:rsid w:val="000459C9"/>
    <w:rsid w:val="00046259"/>
    <w:rsid w:val="00050784"/>
    <w:rsid w:val="000516CE"/>
    <w:rsid w:val="00061CC0"/>
    <w:rsid w:val="00063232"/>
    <w:rsid w:val="00064201"/>
    <w:rsid w:val="00064DFC"/>
    <w:rsid w:val="0006550C"/>
    <w:rsid w:val="00070296"/>
    <w:rsid w:val="00071776"/>
    <w:rsid w:val="00080D05"/>
    <w:rsid w:val="00084E6E"/>
    <w:rsid w:val="00085A44"/>
    <w:rsid w:val="0009124D"/>
    <w:rsid w:val="0009194D"/>
    <w:rsid w:val="00095835"/>
    <w:rsid w:val="00095F14"/>
    <w:rsid w:val="00097E8E"/>
    <w:rsid w:val="000A372E"/>
    <w:rsid w:val="000A6323"/>
    <w:rsid w:val="000B0027"/>
    <w:rsid w:val="000B01E2"/>
    <w:rsid w:val="000B16AD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5B5B"/>
    <w:rsid w:val="000D6784"/>
    <w:rsid w:val="000D7066"/>
    <w:rsid w:val="000D7EBE"/>
    <w:rsid w:val="000D7FB6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44F"/>
    <w:rsid w:val="00111228"/>
    <w:rsid w:val="001160FF"/>
    <w:rsid w:val="0011682F"/>
    <w:rsid w:val="00117051"/>
    <w:rsid w:val="00121804"/>
    <w:rsid w:val="00124192"/>
    <w:rsid w:val="00126290"/>
    <w:rsid w:val="00127B6D"/>
    <w:rsid w:val="001300B0"/>
    <w:rsid w:val="00134EFB"/>
    <w:rsid w:val="00135076"/>
    <w:rsid w:val="00135CC9"/>
    <w:rsid w:val="00135D30"/>
    <w:rsid w:val="00136315"/>
    <w:rsid w:val="00140853"/>
    <w:rsid w:val="0014334E"/>
    <w:rsid w:val="00146D67"/>
    <w:rsid w:val="0015012C"/>
    <w:rsid w:val="00157944"/>
    <w:rsid w:val="00157A2D"/>
    <w:rsid w:val="00157BFB"/>
    <w:rsid w:val="00163BB8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7418"/>
    <w:rsid w:val="00187FDC"/>
    <w:rsid w:val="00196013"/>
    <w:rsid w:val="0019759D"/>
    <w:rsid w:val="001A061A"/>
    <w:rsid w:val="001A192A"/>
    <w:rsid w:val="001A19A9"/>
    <w:rsid w:val="001A5703"/>
    <w:rsid w:val="001A6EC6"/>
    <w:rsid w:val="001B105B"/>
    <w:rsid w:val="001B3E9A"/>
    <w:rsid w:val="001B6DD4"/>
    <w:rsid w:val="001B6F4E"/>
    <w:rsid w:val="001C2C32"/>
    <w:rsid w:val="001D1B03"/>
    <w:rsid w:val="001D35D3"/>
    <w:rsid w:val="001D3D94"/>
    <w:rsid w:val="001D3E02"/>
    <w:rsid w:val="001D4378"/>
    <w:rsid w:val="001D70B6"/>
    <w:rsid w:val="001E077F"/>
    <w:rsid w:val="001E2FF1"/>
    <w:rsid w:val="001E308B"/>
    <w:rsid w:val="001F127D"/>
    <w:rsid w:val="001F14FA"/>
    <w:rsid w:val="001F631D"/>
    <w:rsid w:val="00201553"/>
    <w:rsid w:val="00203132"/>
    <w:rsid w:val="00205BDF"/>
    <w:rsid w:val="00205BF1"/>
    <w:rsid w:val="0021012E"/>
    <w:rsid w:val="0021038D"/>
    <w:rsid w:val="002109CE"/>
    <w:rsid w:val="002132C0"/>
    <w:rsid w:val="00216BE2"/>
    <w:rsid w:val="00220639"/>
    <w:rsid w:val="00220770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2038"/>
    <w:rsid w:val="00252D27"/>
    <w:rsid w:val="00253A4A"/>
    <w:rsid w:val="00253BF8"/>
    <w:rsid w:val="00257BA3"/>
    <w:rsid w:val="00260B8B"/>
    <w:rsid w:val="00260EFE"/>
    <w:rsid w:val="00265FDB"/>
    <w:rsid w:val="002679D1"/>
    <w:rsid w:val="00270995"/>
    <w:rsid w:val="00272319"/>
    <w:rsid w:val="00274A6C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94E62"/>
    <w:rsid w:val="00295A42"/>
    <w:rsid w:val="002A14B2"/>
    <w:rsid w:val="002A2E3F"/>
    <w:rsid w:val="002A43D4"/>
    <w:rsid w:val="002B0036"/>
    <w:rsid w:val="002B0B9F"/>
    <w:rsid w:val="002B1CF5"/>
    <w:rsid w:val="002B2070"/>
    <w:rsid w:val="002B340F"/>
    <w:rsid w:val="002B3FFE"/>
    <w:rsid w:val="002C4128"/>
    <w:rsid w:val="002C417C"/>
    <w:rsid w:val="002C545A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0B2A"/>
    <w:rsid w:val="0036178F"/>
    <w:rsid w:val="0036586B"/>
    <w:rsid w:val="00365B7E"/>
    <w:rsid w:val="0036732D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D0B5A"/>
    <w:rsid w:val="003D11FA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105AF"/>
    <w:rsid w:val="0041416B"/>
    <w:rsid w:val="00415157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670D9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4969"/>
    <w:rsid w:val="00495710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2846"/>
    <w:rsid w:val="004D3917"/>
    <w:rsid w:val="004D5D42"/>
    <w:rsid w:val="004E1188"/>
    <w:rsid w:val="004E3B8F"/>
    <w:rsid w:val="004E6CEC"/>
    <w:rsid w:val="004F08B5"/>
    <w:rsid w:val="004F0AF8"/>
    <w:rsid w:val="004F519C"/>
    <w:rsid w:val="00500234"/>
    <w:rsid w:val="005029CF"/>
    <w:rsid w:val="005052C6"/>
    <w:rsid w:val="00505AF2"/>
    <w:rsid w:val="005218C7"/>
    <w:rsid w:val="005252BD"/>
    <w:rsid w:val="00527F37"/>
    <w:rsid w:val="00530B80"/>
    <w:rsid w:val="00540F91"/>
    <w:rsid w:val="00543D26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C7F"/>
    <w:rsid w:val="005B4372"/>
    <w:rsid w:val="005B59DC"/>
    <w:rsid w:val="005B6CD2"/>
    <w:rsid w:val="005C25B0"/>
    <w:rsid w:val="005C2699"/>
    <w:rsid w:val="005C6D86"/>
    <w:rsid w:val="005D19E0"/>
    <w:rsid w:val="005D2EE8"/>
    <w:rsid w:val="005D3612"/>
    <w:rsid w:val="005E01A7"/>
    <w:rsid w:val="005E02D8"/>
    <w:rsid w:val="005E1A5D"/>
    <w:rsid w:val="005E2F7E"/>
    <w:rsid w:val="005E542C"/>
    <w:rsid w:val="005F51CB"/>
    <w:rsid w:val="005F5AC4"/>
    <w:rsid w:val="005F6D66"/>
    <w:rsid w:val="00600453"/>
    <w:rsid w:val="00600743"/>
    <w:rsid w:val="00605363"/>
    <w:rsid w:val="0060665A"/>
    <w:rsid w:val="00607747"/>
    <w:rsid w:val="006126C8"/>
    <w:rsid w:val="00613D6A"/>
    <w:rsid w:val="00616540"/>
    <w:rsid w:val="006202DB"/>
    <w:rsid w:val="00624151"/>
    <w:rsid w:val="006320DE"/>
    <w:rsid w:val="00633BA0"/>
    <w:rsid w:val="00635BF6"/>
    <w:rsid w:val="00636207"/>
    <w:rsid w:val="0063625B"/>
    <w:rsid w:val="0063669C"/>
    <w:rsid w:val="00643BE0"/>
    <w:rsid w:val="006441E8"/>
    <w:rsid w:val="00647F5F"/>
    <w:rsid w:val="00651700"/>
    <w:rsid w:val="00652710"/>
    <w:rsid w:val="00653532"/>
    <w:rsid w:val="006537A8"/>
    <w:rsid w:val="006554F4"/>
    <w:rsid w:val="00657B47"/>
    <w:rsid w:val="0066058C"/>
    <w:rsid w:val="006608FB"/>
    <w:rsid w:val="00666111"/>
    <w:rsid w:val="00666901"/>
    <w:rsid w:val="006702CE"/>
    <w:rsid w:val="006710EA"/>
    <w:rsid w:val="00671F5B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EEC"/>
    <w:rsid w:val="00695B61"/>
    <w:rsid w:val="006A1FFF"/>
    <w:rsid w:val="006A2FFA"/>
    <w:rsid w:val="006B160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98A"/>
    <w:rsid w:val="006D509E"/>
    <w:rsid w:val="006D5241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24B5E"/>
    <w:rsid w:val="0072706B"/>
    <w:rsid w:val="007341A1"/>
    <w:rsid w:val="00734966"/>
    <w:rsid w:val="00735CD3"/>
    <w:rsid w:val="007363AC"/>
    <w:rsid w:val="007469A1"/>
    <w:rsid w:val="007470D9"/>
    <w:rsid w:val="00752879"/>
    <w:rsid w:val="0075459A"/>
    <w:rsid w:val="007616E0"/>
    <w:rsid w:val="0076386D"/>
    <w:rsid w:val="00765C1C"/>
    <w:rsid w:val="00766510"/>
    <w:rsid w:val="00767F05"/>
    <w:rsid w:val="00770153"/>
    <w:rsid w:val="00770E4C"/>
    <w:rsid w:val="00771350"/>
    <w:rsid w:val="00772DD4"/>
    <w:rsid w:val="0078340C"/>
    <w:rsid w:val="00787D36"/>
    <w:rsid w:val="007903DE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1CC"/>
    <w:rsid w:val="007B6FDE"/>
    <w:rsid w:val="007C3177"/>
    <w:rsid w:val="007C3182"/>
    <w:rsid w:val="007C4084"/>
    <w:rsid w:val="007C48D5"/>
    <w:rsid w:val="007C74B7"/>
    <w:rsid w:val="007D4D6F"/>
    <w:rsid w:val="007D4E6B"/>
    <w:rsid w:val="007D7922"/>
    <w:rsid w:val="007D7D76"/>
    <w:rsid w:val="007E01C0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1C99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35F1"/>
    <w:rsid w:val="0087097F"/>
    <w:rsid w:val="00870D4C"/>
    <w:rsid w:val="0087386D"/>
    <w:rsid w:val="008740D8"/>
    <w:rsid w:val="00877643"/>
    <w:rsid w:val="00884CAC"/>
    <w:rsid w:val="00886837"/>
    <w:rsid w:val="008878E5"/>
    <w:rsid w:val="0089071C"/>
    <w:rsid w:val="008921BD"/>
    <w:rsid w:val="00892D9B"/>
    <w:rsid w:val="008948B8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341E"/>
    <w:rsid w:val="00905400"/>
    <w:rsid w:val="00906C4C"/>
    <w:rsid w:val="00907840"/>
    <w:rsid w:val="00913C0A"/>
    <w:rsid w:val="009144C9"/>
    <w:rsid w:val="00917E11"/>
    <w:rsid w:val="0092150B"/>
    <w:rsid w:val="009226E0"/>
    <w:rsid w:val="0092338E"/>
    <w:rsid w:val="00925D88"/>
    <w:rsid w:val="00926680"/>
    <w:rsid w:val="0093328E"/>
    <w:rsid w:val="009356CB"/>
    <w:rsid w:val="00936B17"/>
    <w:rsid w:val="009408BD"/>
    <w:rsid w:val="00941AC7"/>
    <w:rsid w:val="00941C4B"/>
    <w:rsid w:val="0095106F"/>
    <w:rsid w:val="009532EC"/>
    <w:rsid w:val="00953E29"/>
    <w:rsid w:val="009558B0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2599"/>
    <w:rsid w:val="009B4C92"/>
    <w:rsid w:val="009C60F5"/>
    <w:rsid w:val="009D11BA"/>
    <w:rsid w:val="009D1738"/>
    <w:rsid w:val="009D1AEB"/>
    <w:rsid w:val="009D6F1F"/>
    <w:rsid w:val="009E3737"/>
    <w:rsid w:val="009E45BA"/>
    <w:rsid w:val="009F1355"/>
    <w:rsid w:val="009F3502"/>
    <w:rsid w:val="009F464C"/>
    <w:rsid w:val="009F4E9D"/>
    <w:rsid w:val="00A005B8"/>
    <w:rsid w:val="00A01779"/>
    <w:rsid w:val="00A02185"/>
    <w:rsid w:val="00A024B2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30E18"/>
    <w:rsid w:val="00A314E9"/>
    <w:rsid w:val="00A3348F"/>
    <w:rsid w:val="00A346C9"/>
    <w:rsid w:val="00A42B26"/>
    <w:rsid w:val="00A44052"/>
    <w:rsid w:val="00A46DF0"/>
    <w:rsid w:val="00A52B28"/>
    <w:rsid w:val="00A53D85"/>
    <w:rsid w:val="00A54080"/>
    <w:rsid w:val="00A54163"/>
    <w:rsid w:val="00A567B1"/>
    <w:rsid w:val="00A57A4A"/>
    <w:rsid w:val="00A61326"/>
    <w:rsid w:val="00A628E2"/>
    <w:rsid w:val="00A64158"/>
    <w:rsid w:val="00A64E86"/>
    <w:rsid w:val="00A73620"/>
    <w:rsid w:val="00A73E11"/>
    <w:rsid w:val="00A8112B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03BA"/>
    <w:rsid w:val="00AB11E0"/>
    <w:rsid w:val="00AB543E"/>
    <w:rsid w:val="00AC0F10"/>
    <w:rsid w:val="00AC1492"/>
    <w:rsid w:val="00AC3CE6"/>
    <w:rsid w:val="00AC4E15"/>
    <w:rsid w:val="00AC5D2A"/>
    <w:rsid w:val="00AD29F2"/>
    <w:rsid w:val="00AD3E13"/>
    <w:rsid w:val="00AE0131"/>
    <w:rsid w:val="00AE500D"/>
    <w:rsid w:val="00AF1827"/>
    <w:rsid w:val="00AF1C76"/>
    <w:rsid w:val="00AF4E83"/>
    <w:rsid w:val="00AF6412"/>
    <w:rsid w:val="00B0331B"/>
    <w:rsid w:val="00B05179"/>
    <w:rsid w:val="00B05D76"/>
    <w:rsid w:val="00B163BC"/>
    <w:rsid w:val="00B1729B"/>
    <w:rsid w:val="00B21BC6"/>
    <w:rsid w:val="00B22676"/>
    <w:rsid w:val="00B245BD"/>
    <w:rsid w:val="00B27896"/>
    <w:rsid w:val="00B32F89"/>
    <w:rsid w:val="00B338D5"/>
    <w:rsid w:val="00B36924"/>
    <w:rsid w:val="00B3767E"/>
    <w:rsid w:val="00B42136"/>
    <w:rsid w:val="00B433CE"/>
    <w:rsid w:val="00B438A5"/>
    <w:rsid w:val="00B44B05"/>
    <w:rsid w:val="00B517F6"/>
    <w:rsid w:val="00B57001"/>
    <w:rsid w:val="00B616D9"/>
    <w:rsid w:val="00B63758"/>
    <w:rsid w:val="00B6559E"/>
    <w:rsid w:val="00B66F51"/>
    <w:rsid w:val="00B836DF"/>
    <w:rsid w:val="00B862F5"/>
    <w:rsid w:val="00B933D5"/>
    <w:rsid w:val="00B93430"/>
    <w:rsid w:val="00B95D33"/>
    <w:rsid w:val="00B95E4E"/>
    <w:rsid w:val="00B962AA"/>
    <w:rsid w:val="00BA0449"/>
    <w:rsid w:val="00BA3611"/>
    <w:rsid w:val="00BB2EA7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054D"/>
    <w:rsid w:val="00C14186"/>
    <w:rsid w:val="00C14583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5614"/>
    <w:rsid w:val="00C66B4F"/>
    <w:rsid w:val="00C71AAB"/>
    <w:rsid w:val="00C75038"/>
    <w:rsid w:val="00C802A6"/>
    <w:rsid w:val="00C80E21"/>
    <w:rsid w:val="00C81FF5"/>
    <w:rsid w:val="00C83962"/>
    <w:rsid w:val="00C854FB"/>
    <w:rsid w:val="00C861D0"/>
    <w:rsid w:val="00C86A1A"/>
    <w:rsid w:val="00C87273"/>
    <w:rsid w:val="00C92002"/>
    <w:rsid w:val="00C92358"/>
    <w:rsid w:val="00C951AA"/>
    <w:rsid w:val="00C958DB"/>
    <w:rsid w:val="00CA0412"/>
    <w:rsid w:val="00CA1410"/>
    <w:rsid w:val="00CA1F2F"/>
    <w:rsid w:val="00CA3B04"/>
    <w:rsid w:val="00CA4DBA"/>
    <w:rsid w:val="00CA553F"/>
    <w:rsid w:val="00CB70F8"/>
    <w:rsid w:val="00CB7358"/>
    <w:rsid w:val="00CC0B87"/>
    <w:rsid w:val="00CC2CD9"/>
    <w:rsid w:val="00CC398A"/>
    <w:rsid w:val="00CC3C05"/>
    <w:rsid w:val="00CC3FB4"/>
    <w:rsid w:val="00CC59BF"/>
    <w:rsid w:val="00CD0BB0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4C81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1523"/>
    <w:rsid w:val="00D256DD"/>
    <w:rsid w:val="00D274F1"/>
    <w:rsid w:val="00D27E18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460A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1DB7"/>
    <w:rsid w:val="00D9438F"/>
    <w:rsid w:val="00DA427B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E4675"/>
    <w:rsid w:val="00DE6693"/>
    <w:rsid w:val="00DF43D7"/>
    <w:rsid w:val="00DF4D1C"/>
    <w:rsid w:val="00DF5735"/>
    <w:rsid w:val="00DF6032"/>
    <w:rsid w:val="00E0134F"/>
    <w:rsid w:val="00E049CE"/>
    <w:rsid w:val="00E115BF"/>
    <w:rsid w:val="00E11975"/>
    <w:rsid w:val="00E11EA8"/>
    <w:rsid w:val="00E21BA1"/>
    <w:rsid w:val="00E228F4"/>
    <w:rsid w:val="00E23500"/>
    <w:rsid w:val="00E25A09"/>
    <w:rsid w:val="00E336BB"/>
    <w:rsid w:val="00E33AE0"/>
    <w:rsid w:val="00E37E28"/>
    <w:rsid w:val="00E455D2"/>
    <w:rsid w:val="00E5062D"/>
    <w:rsid w:val="00E52889"/>
    <w:rsid w:val="00E54A78"/>
    <w:rsid w:val="00E60D78"/>
    <w:rsid w:val="00E61975"/>
    <w:rsid w:val="00E63DC0"/>
    <w:rsid w:val="00E65023"/>
    <w:rsid w:val="00E70E31"/>
    <w:rsid w:val="00E74E88"/>
    <w:rsid w:val="00E77A60"/>
    <w:rsid w:val="00E80629"/>
    <w:rsid w:val="00E8285A"/>
    <w:rsid w:val="00E82CD6"/>
    <w:rsid w:val="00E83B97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788A"/>
    <w:rsid w:val="00ED02B3"/>
    <w:rsid w:val="00ED55B8"/>
    <w:rsid w:val="00ED57EB"/>
    <w:rsid w:val="00EE0F43"/>
    <w:rsid w:val="00EE0F53"/>
    <w:rsid w:val="00EE214A"/>
    <w:rsid w:val="00EE2600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541"/>
    <w:rsid w:val="00F37A4C"/>
    <w:rsid w:val="00F41720"/>
    <w:rsid w:val="00F43291"/>
    <w:rsid w:val="00F44189"/>
    <w:rsid w:val="00F50857"/>
    <w:rsid w:val="00F50DF7"/>
    <w:rsid w:val="00F53190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3647"/>
    <w:rsid w:val="00FD696D"/>
    <w:rsid w:val="00FE0CCA"/>
    <w:rsid w:val="00FE2AF4"/>
    <w:rsid w:val="00FE2F54"/>
    <w:rsid w:val="00FE389F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zakończyła projekty innowacyjne służące ograniczeniu uciążliwości akustycznych i dynamicznych</vt:lpstr>
    </vt:vector>
  </TitlesOfParts>
  <Company>PKP PLK S.A.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21 maja 2025 r.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2025-05-21T07:01:00Z</dcterms:created>
  <dcterms:modified xsi:type="dcterms:W3CDTF">2025-05-21T07:01:00Z</dcterms:modified>
</cp:coreProperties>
</file>