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3D4A45" w:rsidRDefault="004007D5" w:rsidP="004007D5">
      <w:pPr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www.plk-sa.pl</w:t>
      </w:r>
    </w:p>
    <w:p w:rsidR="004007D5" w:rsidRPr="003D4A45" w:rsidRDefault="00D60293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D4A45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4007D5" w:rsidRPr="003D4A45">
        <w:rPr>
          <w:rFonts w:ascii="Arial" w:hAnsi="Arial" w:cs="Arial"/>
          <w:color w:val="000000" w:themeColor="text1"/>
          <w:sz w:val="22"/>
          <w:szCs w:val="22"/>
        </w:rPr>
        <w:t>,</w:t>
      </w:r>
      <w:r w:rsidR="006B5014" w:rsidRPr="003D4A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D4A45">
        <w:rPr>
          <w:rFonts w:ascii="Arial" w:hAnsi="Arial" w:cs="Arial"/>
          <w:color w:val="000000" w:themeColor="text1"/>
          <w:sz w:val="22"/>
          <w:szCs w:val="22"/>
        </w:rPr>
        <w:t>27 grudnia</w:t>
      </w:r>
      <w:r w:rsidR="004007D5" w:rsidRPr="003D4A45">
        <w:rPr>
          <w:rFonts w:ascii="Arial" w:hAnsi="Arial" w:cs="Arial"/>
          <w:color w:val="000000" w:themeColor="text1"/>
          <w:sz w:val="22"/>
          <w:szCs w:val="22"/>
        </w:rPr>
        <w:t xml:space="preserve"> 2019 r. </w:t>
      </w:r>
    </w:p>
    <w:p w:rsidR="007B1B8C" w:rsidRPr="003D4A45" w:rsidRDefault="007B1B8C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4007D5" w:rsidRPr="003D4A45" w:rsidRDefault="004007D5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4A45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D4A45">
        <w:rPr>
          <w:rFonts w:ascii="Arial" w:hAnsi="Arial" w:cs="Arial"/>
          <w:b/>
          <w:sz w:val="22"/>
          <w:szCs w:val="22"/>
        </w:rPr>
        <w:t xml:space="preserve">Gdańsk Port Północny – sprawny dojazd pociągów zapewni 85 tys. pali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D4A45">
        <w:rPr>
          <w:rFonts w:ascii="Arial" w:hAnsi="Arial" w:cs="Arial"/>
          <w:b/>
          <w:sz w:val="22"/>
          <w:szCs w:val="22"/>
        </w:rPr>
        <w:t>Dłuższe i cięższe składy, sprawny przeładunek większej ilości towarów i bezpieczny system obsługi pociągów towarowych – PKP Polskie Linie Kolejowe S.A. poprawiają dostęp do portów w Gdyni i Gdańsku. Na stacji Gdańsk Port</w:t>
      </w:r>
      <w:r>
        <w:rPr>
          <w:rFonts w:ascii="Arial" w:hAnsi="Arial" w:cs="Arial"/>
          <w:b/>
          <w:sz w:val="22"/>
          <w:szCs w:val="22"/>
        </w:rPr>
        <w:t xml:space="preserve"> Północny wzmacniany jest teren</w:t>
      </w:r>
      <w:r w:rsidRPr="003D4A45">
        <w:rPr>
          <w:rFonts w:ascii="Arial" w:hAnsi="Arial" w:cs="Arial"/>
          <w:b/>
          <w:sz w:val="22"/>
          <w:szCs w:val="22"/>
        </w:rPr>
        <w:t>, a na stacji Gdańsk Zaspa Towarowa budowana jest nowa nastawn</w:t>
      </w:r>
      <w:r w:rsidR="00632390">
        <w:rPr>
          <w:rFonts w:ascii="Arial" w:hAnsi="Arial" w:cs="Arial"/>
          <w:b/>
          <w:sz w:val="22"/>
          <w:szCs w:val="22"/>
        </w:rPr>
        <w:t>i</w:t>
      </w:r>
      <w:r w:rsidRPr="003D4A45">
        <w:rPr>
          <w:rFonts w:ascii="Arial" w:hAnsi="Arial" w:cs="Arial"/>
          <w:b/>
          <w:sz w:val="22"/>
          <w:szCs w:val="22"/>
        </w:rPr>
        <w:t xml:space="preserve">a. Realizację projektów w Trójmieście, wartych ponad 2,6 mld zł, zaplanowano do końca 2021 r.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b/>
          <w:sz w:val="22"/>
          <w:szCs w:val="22"/>
        </w:rPr>
        <w:t>Na stacji Gdańsk Port Północny</w:t>
      </w:r>
      <w:r>
        <w:rPr>
          <w:rFonts w:ascii="Arial" w:hAnsi="Arial" w:cs="Arial"/>
          <w:sz w:val="22"/>
          <w:szCs w:val="22"/>
        </w:rPr>
        <w:t> </w:t>
      </w:r>
      <w:r w:rsidRPr="003D4A45">
        <w:rPr>
          <w:rFonts w:ascii="Arial" w:hAnsi="Arial" w:cs="Arial"/>
          <w:sz w:val="22"/>
          <w:szCs w:val="22"/>
        </w:rPr>
        <w:t>wzmacniany jest teren, co pozwoli na obsługę cięższych pociągów towarowy</w:t>
      </w:r>
      <w:r>
        <w:rPr>
          <w:rFonts w:ascii="Arial" w:hAnsi="Arial" w:cs="Arial"/>
          <w:sz w:val="22"/>
          <w:szCs w:val="22"/>
        </w:rPr>
        <w:t xml:space="preserve">ch. W </w:t>
      </w:r>
      <w:r w:rsidR="00C2492F">
        <w:rPr>
          <w:rFonts w:ascii="Arial" w:hAnsi="Arial" w:cs="Arial"/>
          <w:sz w:val="22"/>
          <w:szCs w:val="22"/>
        </w:rPr>
        <w:t xml:space="preserve">podłoże wbito już </w:t>
      </w:r>
      <w:r w:rsidRPr="003D4A45">
        <w:rPr>
          <w:rFonts w:ascii="Arial" w:hAnsi="Arial" w:cs="Arial"/>
          <w:sz w:val="22"/>
          <w:szCs w:val="22"/>
        </w:rPr>
        <w:t xml:space="preserve">około 7200 betonowych pali, a docelowo będzie ich około 85 tys. Remontowane są stare tory oraz sieć trakcyjna. Wykonawca zgromadził </w:t>
      </w:r>
      <w:r w:rsidR="00632390">
        <w:rPr>
          <w:rFonts w:ascii="Arial" w:hAnsi="Arial" w:cs="Arial"/>
          <w:sz w:val="22"/>
          <w:szCs w:val="22"/>
        </w:rPr>
        <w:br/>
      </w:r>
      <w:r w:rsidRPr="003D4A45">
        <w:rPr>
          <w:rFonts w:ascii="Arial" w:hAnsi="Arial" w:cs="Arial"/>
          <w:sz w:val="22"/>
          <w:szCs w:val="22"/>
        </w:rPr>
        <w:t xml:space="preserve">na placu budowy m. in. ponad 5 tys. podkładów oraz prawie 160 tys. ton tłucznia, co odpowiada liczbie około 8 tys. samochodów ciężarowych.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92F">
        <w:rPr>
          <w:rFonts w:ascii="Arial" w:hAnsi="Arial" w:cs="Arial"/>
          <w:b/>
          <w:sz w:val="22"/>
          <w:szCs w:val="22"/>
        </w:rPr>
        <w:t>Na stacji Gdańsk Zaspa Towarowa</w:t>
      </w:r>
      <w:r w:rsidRPr="003D4A45">
        <w:rPr>
          <w:rFonts w:ascii="Arial" w:hAnsi="Arial" w:cs="Arial"/>
          <w:sz w:val="22"/>
          <w:szCs w:val="22"/>
        </w:rPr>
        <w:t>  budowana jest nowa nastawn</w:t>
      </w:r>
      <w:r w:rsidR="00632390">
        <w:rPr>
          <w:rFonts w:ascii="Arial" w:hAnsi="Arial" w:cs="Arial"/>
          <w:sz w:val="22"/>
          <w:szCs w:val="22"/>
        </w:rPr>
        <w:t>i</w:t>
      </w:r>
      <w:r w:rsidRPr="003D4A45">
        <w:rPr>
          <w:rFonts w:ascii="Arial" w:hAnsi="Arial" w:cs="Arial"/>
          <w:sz w:val="22"/>
          <w:szCs w:val="22"/>
        </w:rPr>
        <w:t>a, w której zainstalowane będą nowe urządzenia i system sterowania ruchem kolejowym. Pozwoli on na sprawniejszą i</w:t>
      </w:r>
      <w:r>
        <w:rPr>
          <w:rFonts w:ascii="Arial" w:hAnsi="Arial" w:cs="Arial"/>
          <w:sz w:val="22"/>
          <w:szCs w:val="22"/>
        </w:rPr>
        <w:t> </w:t>
      </w:r>
      <w:r w:rsidRPr="003D4A45">
        <w:rPr>
          <w:rFonts w:ascii="Arial" w:hAnsi="Arial" w:cs="Arial"/>
          <w:sz w:val="22"/>
          <w:szCs w:val="22"/>
        </w:rPr>
        <w:t xml:space="preserve">bezpieczną obsługę większej liczby pociągów towarowych, kierowanych do gdańskiego portu. Umożliwi to obsługę dłuższych i cięższych składów, </w:t>
      </w:r>
      <w:r w:rsidR="00C2492F">
        <w:rPr>
          <w:rFonts w:ascii="Arial" w:hAnsi="Arial" w:cs="Arial"/>
          <w:sz w:val="22"/>
          <w:szCs w:val="22"/>
        </w:rPr>
        <w:t>czyli przeładunek większej ilości</w:t>
      </w:r>
      <w:r w:rsidRPr="003D4A45">
        <w:rPr>
          <w:rFonts w:ascii="Arial" w:hAnsi="Arial" w:cs="Arial"/>
          <w:sz w:val="22"/>
          <w:szCs w:val="22"/>
        </w:rPr>
        <w:t xml:space="preserve"> towarów. </w:t>
      </w:r>
      <w:r w:rsidR="00C2492F">
        <w:rPr>
          <w:rFonts w:ascii="Arial" w:hAnsi="Arial" w:cs="Arial"/>
          <w:sz w:val="22"/>
          <w:szCs w:val="22"/>
        </w:rPr>
        <w:t xml:space="preserve"> </w:t>
      </w:r>
      <w:r w:rsidRPr="003D4A45">
        <w:rPr>
          <w:rFonts w:ascii="Arial" w:hAnsi="Arial" w:cs="Arial"/>
          <w:sz w:val="22"/>
          <w:szCs w:val="22"/>
        </w:rPr>
        <w:t>Na stacji powstaje także nowy system odwodnienia. Przygotowane  są materiały na kolejne prace.</w:t>
      </w:r>
      <w:r w:rsidR="00632390">
        <w:rPr>
          <w:rFonts w:ascii="Arial" w:hAnsi="Arial" w:cs="Arial"/>
          <w:sz w:val="22"/>
          <w:szCs w:val="22"/>
        </w:rPr>
        <w:t xml:space="preserve"> Na placu budowy zgromadzono m.</w:t>
      </w:r>
      <w:r w:rsidRPr="003D4A45">
        <w:rPr>
          <w:rFonts w:ascii="Arial" w:hAnsi="Arial" w:cs="Arial"/>
          <w:sz w:val="22"/>
          <w:szCs w:val="22"/>
        </w:rPr>
        <w:t xml:space="preserve">in. ponad 56 tys. ton tłucznia, 57 tys. ton piasku, prawie 18 tys. metrów nowych szyn oraz ponad 45 tys. podkładów.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sz w:val="22"/>
          <w:szCs w:val="22"/>
        </w:rPr>
        <w:t xml:space="preserve">Projekt PKP Polskich Linii Kolejowych S.A. pn. </w:t>
      </w:r>
      <w:r w:rsidRPr="00C2492F">
        <w:rPr>
          <w:rFonts w:ascii="Arial" w:hAnsi="Arial" w:cs="Arial"/>
          <w:b/>
          <w:sz w:val="22"/>
          <w:szCs w:val="22"/>
        </w:rPr>
        <w:t>„Poprawa infrastruktury kolejowego dostępu do portu Gdańsk”</w:t>
      </w:r>
      <w:r w:rsidRPr="003D4A45">
        <w:rPr>
          <w:rFonts w:ascii="Arial" w:hAnsi="Arial" w:cs="Arial"/>
          <w:sz w:val="22"/>
          <w:szCs w:val="22"/>
        </w:rPr>
        <w:t xml:space="preserve"> to m. in. przebudowa ponad 70 km torów, 13 przejazdów kolejowo – drogowych i przejść dla pieszych oraz wymiana 221 rozjazdów. Przebudowane będą obiekty inżynieryjne – 3 mosty, 2 wiadukty oraz 18 przepustów. Nad torami stacji Gdańsk Kanał Kaszubski, w ciągu ulicy Ku Ujściu, wybudowany zostanie nowy wiadukt z drogami dojazdowymi.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492F" w:rsidRDefault="00C2492F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492F" w:rsidRDefault="00C2492F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492F" w:rsidRDefault="00C2492F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sz w:val="22"/>
          <w:szCs w:val="22"/>
        </w:rPr>
        <w:t xml:space="preserve">Prace na terenie </w:t>
      </w:r>
      <w:r w:rsidRPr="00C2492F">
        <w:rPr>
          <w:rFonts w:ascii="Arial" w:hAnsi="Arial" w:cs="Arial"/>
          <w:b/>
          <w:sz w:val="22"/>
          <w:szCs w:val="22"/>
        </w:rPr>
        <w:t>stacji Gdynia Port</w:t>
      </w:r>
      <w:r w:rsidRPr="003D4A45">
        <w:rPr>
          <w:rFonts w:ascii="Arial" w:hAnsi="Arial" w:cs="Arial"/>
          <w:sz w:val="22"/>
          <w:szCs w:val="22"/>
        </w:rPr>
        <w:t xml:space="preserve"> poprawią jej przepustowość, co skróci czas obsługi pociągów. Zwiększy się poziom bezpieczeństwa przew</w:t>
      </w:r>
      <w:r w:rsidR="00632390">
        <w:rPr>
          <w:rFonts w:ascii="Arial" w:hAnsi="Arial" w:cs="Arial"/>
          <w:sz w:val="22"/>
          <w:szCs w:val="22"/>
        </w:rPr>
        <w:t>ożonych towarów – zapewni to m.</w:t>
      </w:r>
      <w:r w:rsidRPr="003D4A45">
        <w:rPr>
          <w:rFonts w:ascii="Arial" w:hAnsi="Arial" w:cs="Arial"/>
          <w:sz w:val="22"/>
          <w:szCs w:val="22"/>
        </w:rPr>
        <w:t xml:space="preserve">in. nowe lokalne centrum sterowania i montaż 356 rozjazdów.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sz w:val="22"/>
          <w:szCs w:val="22"/>
        </w:rPr>
        <w:t>Aktualnie trwa demontaż starych torów, rozjazdów i sieci trakcyjnej oraz wykonywane są prace ziemne. Prac</w:t>
      </w:r>
      <w:r w:rsidR="00C2492F">
        <w:rPr>
          <w:rFonts w:ascii="Arial" w:hAnsi="Arial" w:cs="Arial"/>
          <w:sz w:val="22"/>
          <w:szCs w:val="22"/>
        </w:rPr>
        <w:t>ownicy wykorzystują na budowie </w:t>
      </w:r>
      <w:r w:rsidRPr="003D4A45">
        <w:rPr>
          <w:rFonts w:ascii="Arial" w:hAnsi="Arial" w:cs="Arial"/>
          <w:sz w:val="22"/>
          <w:szCs w:val="22"/>
        </w:rPr>
        <w:t xml:space="preserve">ponad 30 maszyn. Na potrzeby inwestycji zgromadzono ponad 120 tys. podkładów oraz ponad 210 tys. ton tłucznia.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sz w:val="22"/>
          <w:szCs w:val="22"/>
        </w:rPr>
        <w:t>Na terenie stacji PLK w ramach projektu pn. „</w:t>
      </w:r>
      <w:r w:rsidRPr="00C2492F">
        <w:rPr>
          <w:rFonts w:ascii="Arial" w:hAnsi="Arial" w:cs="Arial"/>
          <w:b/>
          <w:sz w:val="22"/>
          <w:szCs w:val="22"/>
        </w:rPr>
        <w:t xml:space="preserve">Poprawa dostępu kolejowego do portu morskiego w Gdyni” </w:t>
      </w:r>
      <w:r w:rsidRPr="003D4A45">
        <w:rPr>
          <w:rFonts w:ascii="Arial" w:hAnsi="Arial" w:cs="Arial"/>
          <w:sz w:val="22"/>
          <w:szCs w:val="22"/>
        </w:rPr>
        <w:t xml:space="preserve">przebudują 115 km torów oraz zelektryfikują dojazdy do bram portu. Przebudowa obejmie także 13 km dróg, most kolejowy oraz 2 przejazdy kolejowo – drogowe. Komunikację ułatwi m. in. budowa dwóch wiaduktów kolejowych. </w:t>
      </w: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4A45" w:rsidRPr="003D4A45" w:rsidRDefault="003D4A45" w:rsidP="003D4A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A45">
        <w:rPr>
          <w:rFonts w:ascii="Arial" w:hAnsi="Arial" w:cs="Arial"/>
          <w:sz w:val="22"/>
          <w:szCs w:val="22"/>
        </w:rPr>
        <w:t xml:space="preserve">Inwestycje PLK w Gdańsku i Gdyni znacznie poprawią warunki przewozu towarów koleją. Pojadą dłuższe, nawet 740-metrowe pociągi o obciążeniu 221 </w:t>
      </w:r>
      <w:proofErr w:type="spellStart"/>
      <w:r w:rsidRPr="003D4A45">
        <w:rPr>
          <w:rFonts w:ascii="Arial" w:hAnsi="Arial" w:cs="Arial"/>
          <w:sz w:val="22"/>
          <w:szCs w:val="22"/>
        </w:rPr>
        <w:t>kN</w:t>
      </w:r>
      <w:proofErr w:type="spellEnd"/>
      <w:r w:rsidRPr="003D4A45">
        <w:rPr>
          <w:rFonts w:ascii="Arial" w:hAnsi="Arial" w:cs="Arial"/>
          <w:sz w:val="22"/>
          <w:szCs w:val="22"/>
        </w:rPr>
        <w:t xml:space="preserve"> na oś. Łączna wartość trzech projektów w trójmiejskich portach wynosi ponad 2,6 mld zł netto. Prawie 40 proc. stanowi dofinansowanie unijne - ze środków instrumentu finansowego Connecting Europe Facility (CEF) - „Łącząc Europę”. Zakończenie prac zaplanowane jest do końca 2021 r. </w:t>
      </w:r>
    </w:p>
    <w:p w:rsidR="003D4A45" w:rsidRDefault="003D4A45" w:rsidP="00841517">
      <w:pPr>
        <w:spacing w:before="120" w:after="120" w:line="36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AD" w:rsidRPr="00632390" w:rsidRDefault="004007D5" w:rsidP="006323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32390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AE0532" w:rsidRPr="00632390" w:rsidRDefault="003D4A45" w:rsidP="006323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32390">
        <w:rPr>
          <w:rFonts w:ascii="Arial" w:hAnsi="Arial" w:cs="Arial"/>
          <w:bCs/>
          <w:color w:val="000000" w:themeColor="text1"/>
          <w:sz w:val="20"/>
          <w:szCs w:val="20"/>
        </w:rPr>
        <w:t xml:space="preserve">Przemysła Zieliński </w:t>
      </w:r>
      <w:r w:rsidR="000222AF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832ED" w:rsidRPr="00632390">
        <w:rPr>
          <w:rFonts w:ascii="Arial" w:hAnsi="Arial" w:cs="Arial"/>
          <w:bCs/>
          <w:color w:val="000000" w:themeColor="text1"/>
          <w:sz w:val="20"/>
          <w:szCs w:val="20"/>
        </w:rPr>
        <w:t>Zespół prasowy</w:t>
      </w:r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  <w:t>PKP Polskie Linie Kolejowe S.A.</w:t>
      </w:r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hyperlink r:id="rId9" w:history="1">
        <w:r w:rsidR="004007D5" w:rsidRPr="00632390">
          <w:rPr>
            <w:rFonts w:ascii="Arial" w:hAnsi="Arial" w:cs="Arial"/>
            <w:bCs/>
            <w:color w:val="000000" w:themeColor="text1"/>
            <w:sz w:val="20"/>
            <w:szCs w:val="20"/>
          </w:rPr>
          <w:t>rzecznik@plk-sa.pl</w:t>
        </w:r>
      </w:hyperlink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4130D" w:rsidRPr="00632390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410421" w:rsidRPr="00632390">
        <w:rPr>
          <w:rFonts w:ascii="Arial" w:hAnsi="Arial" w:cs="Arial"/>
          <w:bCs/>
          <w:color w:val="000000" w:themeColor="text1"/>
          <w:sz w:val="20"/>
          <w:szCs w:val="20"/>
        </w:rPr>
        <w:t xml:space="preserve">el. </w:t>
      </w:r>
      <w:r w:rsidR="00632390" w:rsidRPr="00632390">
        <w:rPr>
          <w:rFonts w:ascii="Arial" w:hAnsi="Arial" w:cs="Arial"/>
          <w:color w:val="000000"/>
          <w:sz w:val="20"/>
          <w:szCs w:val="20"/>
        </w:rPr>
        <w:t>506 564 659</w:t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Default="004007D5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Pr="008E2511" w:rsidRDefault="00A4491A" w:rsidP="00A4491A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A4491A" w:rsidRPr="008E25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666" w:rsidRDefault="00B35666">
      <w:r>
        <w:separator/>
      </w:r>
    </w:p>
  </w:endnote>
  <w:endnote w:type="continuationSeparator" w:id="0">
    <w:p w:rsidR="00B35666" w:rsidRDefault="00B3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666" w:rsidRDefault="00B35666">
      <w:r>
        <w:separator/>
      </w:r>
    </w:p>
  </w:footnote>
  <w:footnote w:type="continuationSeparator" w:id="0">
    <w:p w:rsidR="00B35666" w:rsidRDefault="00B3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97D56"/>
    <w:multiLevelType w:val="hybridMultilevel"/>
    <w:tmpl w:val="DBAA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22AF"/>
    <w:rsid w:val="000257E6"/>
    <w:rsid w:val="0002625D"/>
    <w:rsid w:val="000272D3"/>
    <w:rsid w:val="000326FE"/>
    <w:rsid w:val="00041C84"/>
    <w:rsid w:val="0004578A"/>
    <w:rsid w:val="000504DE"/>
    <w:rsid w:val="00050F3E"/>
    <w:rsid w:val="000544FE"/>
    <w:rsid w:val="000620C5"/>
    <w:rsid w:val="000842C8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0F3E83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02FC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2877"/>
    <w:rsid w:val="001B4AF7"/>
    <w:rsid w:val="001C684D"/>
    <w:rsid w:val="001E0C34"/>
    <w:rsid w:val="001E2B0F"/>
    <w:rsid w:val="001E6D9F"/>
    <w:rsid w:val="001F1F86"/>
    <w:rsid w:val="001F4E91"/>
    <w:rsid w:val="001F73E8"/>
    <w:rsid w:val="00200D7F"/>
    <w:rsid w:val="00201EE5"/>
    <w:rsid w:val="00206C33"/>
    <w:rsid w:val="00206EDA"/>
    <w:rsid w:val="00220F1E"/>
    <w:rsid w:val="00227F1E"/>
    <w:rsid w:val="002407F8"/>
    <w:rsid w:val="00247F77"/>
    <w:rsid w:val="002542DB"/>
    <w:rsid w:val="002565E0"/>
    <w:rsid w:val="0026223F"/>
    <w:rsid w:val="00262367"/>
    <w:rsid w:val="00263385"/>
    <w:rsid w:val="00273EC7"/>
    <w:rsid w:val="00275002"/>
    <w:rsid w:val="002879E8"/>
    <w:rsid w:val="0029084D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1E74"/>
    <w:rsid w:val="0037318E"/>
    <w:rsid w:val="003832ED"/>
    <w:rsid w:val="00384BD5"/>
    <w:rsid w:val="00385FB3"/>
    <w:rsid w:val="003A4C1B"/>
    <w:rsid w:val="003A6B94"/>
    <w:rsid w:val="003B061C"/>
    <w:rsid w:val="003B4362"/>
    <w:rsid w:val="003B6EB9"/>
    <w:rsid w:val="003D2A59"/>
    <w:rsid w:val="003D4A45"/>
    <w:rsid w:val="003E0FEB"/>
    <w:rsid w:val="003F6868"/>
    <w:rsid w:val="004007D5"/>
    <w:rsid w:val="00405728"/>
    <w:rsid w:val="00410421"/>
    <w:rsid w:val="00414B78"/>
    <w:rsid w:val="00416205"/>
    <w:rsid w:val="004246E7"/>
    <w:rsid w:val="00453789"/>
    <w:rsid w:val="004567D7"/>
    <w:rsid w:val="00457885"/>
    <w:rsid w:val="00464D49"/>
    <w:rsid w:val="00467D8E"/>
    <w:rsid w:val="00470B19"/>
    <w:rsid w:val="00472D1C"/>
    <w:rsid w:val="0047518D"/>
    <w:rsid w:val="0048257B"/>
    <w:rsid w:val="0048695F"/>
    <w:rsid w:val="004905BF"/>
    <w:rsid w:val="00495195"/>
    <w:rsid w:val="004B1FB6"/>
    <w:rsid w:val="004B3E5C"/>
    <w:rsid w:val="004B587B"/>
    <w:rsid w:val="004D22E0"/>
    <w:rsid w:val="004E03EA"/>
    <w:rsid w:val="004E3215"/>
    <w:rsid w:val="004F3094"/>
    <w:rsid w:val="004F5594"/>
    <w:rsid w:val="00515817"/>
    <w:rsid w:val="00523A32"/>
    <w:rsid w:val="00523D05"/>
    <w:rsid w:val="0052785B"/>
    <w:rsid w:val="00532E9D"/>
    <w:rsid w:val="005373C8"/>
    <w:rsid w:val="005B4B8B"/>
    <w:rsid w:val="005C6190"/>
    <w:rsid w:val="005D10B4"/>
    <w:rsid w:val="005D1C24"/>
    <w:rsid w:val="005D5387"/>
    <w:rsid w:val="005E757F"/>
    <w:rsid w:val="005F6E14"/>
    <w:rsid w:val="00600258"/>
    <w:rsid w:val="00611E5A"/>
    <w:rsid w:val="0061416E"/>
    <w:rsid w:val="00621B0C"/>
    <w:rsid w:val="0062361A"/>
    <w:rsid w:val="006267EC"/>
    <w:rsid w:val="00632390"/>
    <w:rsid w:val="0063451B"/>
    <w:rsid w:val="00640E3D"/>
    <w:rsid w:val="006459BB"/>
    <w:rsid w:val="006525F4"/>
    <w:rsid w:val="00652CC2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F65D6"/>
    <w:rsid w:val="006F7E3D"/>
    <w:rsid w:val="007014A0"/>
    <w:rsid w:val="00727758"/>
    <w:rsid w:val="00735316"/>
    <w:rsid w:val="007540E3"/>
    <w:rsid w:val="0076103A"/>
    <w:rsid w:val="007628C2"/>
    <w:rsid w:val="007748C8"/>
    <w:rsid w:val="007819A8"/>
    <w:rsid w:val="0078204C"/>
    <w:rsid w:val="007825E4"/>
    <w:rsid w:val="00782ED0"/>
    <w:rsid w:val="0079237E"/>
    <w:rsid w:val="00792E16"/>
    <w:rsid w:val="007A2C8F"/>
    <w:rsid w:val="007A3F1F"/>
    <w:rsid w:val="007A7C37"/>
    <w:rsid w:val="007B059E"/>
    <w:rsid w:val="007B0D09"/>
    <w:rsid w:val="007B1B8C"/>
    <w:rsid w:val="007B369E"/>
    <w:rsid w:val="007B3C95"/>
    <w:rsid w:val="007B566E"/>
    <w:rsid w:val="007C11BB"/>
    <w:rsid w:val="007C151F"/>
    <w:rsid w:val="007C296E"/>
    <w:rsid w:val="007E3742"/>
    <w:rsid w:val="007E7C3D"/>
    <w:rsid w:val="0080172E"/>
    <w:rsid w:val="00805D3A"/>
    <w:rsid w:val="00821606"/>
    <w:rsid w:val="00821B47"/>
    <w:rsid w:val="008221CB"/>
    <w:rsid w:val="00823ED5"/>
    <w:rsid w:val="00841517"/>
    <w:rsid w:val="00855E72"/>
    <w:rsid w:val="0086520A"/>
    <w:rsid w:val="0087723F"/>
    <w:rsid w:val="00880B3A"/>
    <w:rsid w:val="00890ADC"/>
    <w:rsid w:val="00896B8F"/>
    <w:rsid w:val="008A6D97"/>
    <w:rsid w:val="008B437C"/>
    <w:rsid w:val="008B6A1B"/>
    <w:rsid w:val="008C27C2"/>
    <w:rsid w:val="008D7CE8"/>
    <w:rsid w:val="008D7EB2"/>
    <w:rsid w:val="008E2511"/>
    <w:rsid w:val="008E2F42"/>
    <w:rsid w:val="008E74E0"/>
    <w:rsid w:val="008F1A1A"/>
    <w:rsid w:val="008F5BD2"/>
    <w:rsid w:val="008F7E03"/>
    <w:rsid w:val="00916AD8"/>
    <w:rsid w:val="00916C69"/>
    <w:rsid w:val="00924E1A"/>
    <w:rsid w:val="00930F3D"/>
    <w:rsid w:val="00931D96"/>
    <w:rsid w:val="0093355D"/>
    <w:rsid w:val="009402BA"/>
    <w:rsid w:val="009412F1"/>
    <w:rsid w:val="0094130D"/>
    <w:rsid w:val="009414AC"/>
    <w:rsid w:val="009633C3"/>
    <w:rsid w:val="0096405D"/>
    <w:rsid w:val="009722A3"/>
    <w:rsid w:val="00987BE6"/>
    <w:rsid w:val="00990E12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229AD"/>
    <w:rsid w:val="00A3762F"/>
    <w:rsid w:val="00A4190E"/>
    <w:rsid w:val="00A4324E"/>
    <w:rsid w:val="00A43ACA"/>
    <w:rsid w:val="00A4491A"/>
    <w:rsid w:val="00A60EEF"/>
    <w:rsid w:val="00A72CAE"/>
    <w:rsid w:val="00A840AB"/>
    <w:rsid w:val="00A9241E"/>
    <w:rsid w:val="00A93BF2"/>
    <w:rsid w:val="00A96142"/>
    <w:rsid w:val="00AA0CE1"/>
    <w:rsid w:val="00AA26C2"/>
    <w:rsid w:val="00AB72AE"/>
    <w:rsid w:val="00AD39E7"/>
    <w:rsid w:val="00AD4CAA"/>
    <w:rsid w:val="00AD5614"/>
    <w:rsid w:val="00AE0532"/>
    <w:rsid w:val="00AE1C11"/>
    <w:rsid w:val="00AE3A45"/>
    <w:rsid w:val="00AE47FB"/>
    <w:rsid w:val="00AE579C"/>
    <w:rsid w:val="00B036AA"/>
    <w:rsid w:val="00B246B9"/>
    <w:rsid w:val="00B32177"/>
    <w:rsid w:val="00B35666"/>
    <w:rsid w:val="00B3667C"/>
    <w:rsid w:val="00B41E37"/>
    <w:rsid w:val="00B44451"/>
    <w:rsid w:val="00B472FB"/>
    <w:rsid w:val="00B532E7"/>
    <w:rsid w:val="00B66A15"/>
    <w:rsid w:val="00B748F7"/>
    <w:rsid w:val="00B861C1"/>
    <w:rsid w:val="00B877D3"/>
    <w:rsid w:val="00B973B7"/>
    <w:rsid w:val="00BA1531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92F"/>
    <w:rsid w:val="00C24A3A"/>
    <w:rsid w:val="00C34BB7"/>
    <w:rsid w:val="00C42B67"/>
    <w:rsid w:val="00C55C40"/>
    <w:rsid w:val="00C64A1E"/>
    <w:rsid w:val="00C71316"/>
    <w:rsid w:val="00C738B6"/>
    <w:rsid w:val="00C8087D"/>
    <w:rsid w:val="00C9653B"/>
    <w:rsid w:val="00CA18D9"/>
    <w:rsid w:val="00CA1E76"/>
    <w:rsid w:val="00CA3E95"/>
    <w:rsid w:val="00CC31DD"/>
    <w:rsid w:val="00CC679B"/>
    <w:rsid w:val="00CD0043"/>
    <w:rsid w:val="00CD1B27"/>
    <w:rsid w:val="00CE183B"/>
    <w:rsid w:val="00CE4301"/>
    <w:rsid w:val="00D215BD"/>
    <w:rsid w:val="00D27D2C"/>
    <w:rsid w:val="00D306B2"/>
    <w:rsid w:val="00D32F5F"/>
    <w:rsid w:val="00D35758"/>
    <w:rsid w:val="00D463D4"/>
    <w:rsid w:val="00D47A38"/>
    <w:rsid w:val="00D51A57"/>
    <w:rsid w:val="00D60293"/>
    <w:rsid w:val="00D63E57"/>
    <w:rsid w:val="00D66FF7"/>
    <w:rsid w:val="00D749AB"/>
    <w:rsid w:val="00D7602A"/>
    <w:rsid w:val="00D8222F"/>
    <w:rsid w:val="00D9110B"/>
    <w:rsid w:val="00D91423"/>
    <w:rsid w:val="00D91A5E"/>
    <w:rsid w:val="00D92F7D"/>
    <w:rsid w:val="00DA35B7"/>
    <w:rsid w:val="00DA51BC"/>
    <w:rsid w:val="00DA578B"/>
    <w:rsid w:val="00DA7B85"/>
    <w:rsid w:val="00DB335C"/>
    <w:rsid w:val="00DB43A3"/>
    <w:rsid w:val="00DB5853"/>
    <w:rsid w:val="00DB690F"/>
    <w:rsid w:val="00DD191F"/>
    <w:rsid w:val="00E00118"/>
    <w:rsid w:val="00E0725B"/>
    <w:rsid w:val="00E1057D"/>
    <w:rsid w:val="00E10640"/>
    <w:rsid w:val="00E130C3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5375"/>
    <w:rsid w:val="00EA69FE"/>
    <w:rsid w:val="00EC0F55"/>
    <w:rsid w:val="00EC41AF"/>
    <w:rsid w:val="00ED45A8"/>
    <w:rsid w:val="00ED733E"/>
    <w:rsid w:val="00EE6AC7"/>
    <w:rsid w:val="00EF5F52"/>
    <w:rsid w:val="00F067D6"/>
    <w:rsid w:val="00F073A1"/>
    <w:rsid w:val="00F107AA"/>
    <w:rsid w:val="00F10A77"/>
    <w:rsid w:val="00F162FA"/>
    <w:rsid w:val="00F17E78"/>
    <w:rsid w:val="00F33AC4"/>
    <w:rsid w:val="00F349F9"/>
    <w:rsid w:val="00F3598A"/>
    <w:rsid w:val="00F5118D"/>
    <w:rsid w:val="00F51227"/>
    <w:rsid w:val="00F531E0"/>
    <w:rsid w:val="00F60FEE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178E-BA89-4A95-A37D-0EC12FB8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2019-12-27T12:44:00Z</dcterms:created>
  <dcterms:modified xsi:type="dcterms:W3CDTF">2019-12-27T12:44:00Z</dcterms:modified>
</cp:coreProperties>
</file>