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C60FF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4421A" w:rsidP="009D1AEB">
      <w:pPr>
        <w:jc w:val="right"/>
        <w:rPr>
          <w:rFonts w:cs="Arial"/>
        </w:rPr>
      </w:pPr>
      <w:r>
        <w:rPr>
          <w:rFonts w:cs="Arial"/>
        </w:rPr>
        <w:t>Lublin</w:t>
      </w:r>
      <w:r w:rsidR="009D1AEB">
        <w:rPr>
          <w:rFonts w:cs="Arial"/>
        </w:rPr>
        <w:t>,</w:t>
      </w:r>
      <w:r w:rsidR="004255C5">
        <w:rPr>
          <w:rFonts w:cs="Arial"/>
        </w:rPr>
        <w:t xml:space="preserve"> </w:t>
      </w:r>
      <w:r w:rsidR="00C60FFB">
        <w:rPr>
          <w:rFonts w:cs="Arial"/>
        </w:rPr>
        <w:t>5</w:t>
      </w:r>
      <w:r w:rsidR="00621264">
        <w:rPr>
          <w:rFonts w:cs="Arial"/>
        </w:rPr>
        <w:t xml:space="preserve"> </w:t>
      </w:r>
      <w:r w:rsidR="00C60FFB">
        <w:rPr>
          <w:rFonts w:cs="Arial"/>
        </w:rPr>
        <w:t xml:space="preserve">października </w:t>
      </w:r>
      <w:r w:rsidR="00D0250E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E24026" w:rsidRPr="007F4657" w:rsidRDefault="008E4647" w:rsidP="007F465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7F4657">
        <w:rPr>
          <w:rFonts w:cs="Arial"/>
          <w:sz w:val="22"/>
          <w:szCs w:val="22"/>
        </w:rPr>
        <w:t>Nowa łącznica w Lublinie zwiększy możliwości transportu kolejowego w reg</w:t>
      </w:r>
      <w:r w:rsidR="005175A0">
        <w:rPr>
          <w:rFonts w:cs="Arial"/>
          <w:sz w:val="22"/>
          <w:szCs w:val="22"/>
        </w:rPr>
        <w:t>i</w:t>
      </w:r>
      <w:r w:rsidRPr="007F4657">
        <w:rPr>
          <w:rFonts w:cs="Arial"/>
          <w:sz w:val="22"/>
          <w:szCs w:val="22"/>
        </w:rPr>
        <w:t xml:space="preserve">onie </w:t>
      </w:r>
    </w:p>
    <w:p w:rsidR="000C4514" w:rsidRPr="007F4657" w:rsidRDefault="000C4514" w:rsidP="007F4657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7F4657">
        <w:rPr>
          <w:rFonts w:cs="Arial"/>
          <w:sz w:val="22"/>
          <w:szCs w:val="22"/>
        </w:rPr>
        <w:t>Na łącznicy kolejowej</w:t>
      </w:r>
      <w:r w:rsidR="001672E7" w:rsidRPr="007F4657">
        <w:rPr>
          <w:rFonts w:cs="Arial"/>
          <w:sz w:val="22"/>
          <w:szCs w:val="22"/>
        </w:rPr>
        <w:t xml:space="preserve"> w Lublinie</w:t>
      </w:r>
      <w:r w:rsidRPr="007F4657">
        <w:rPr>
          <w:rFonts w:cs="Arial"/>
          <w:sz w:val="22"/>
          <w:szCs w:val="22"/>
        </w:rPr>
        <w:t xml:space="preserve">, która połączy linię Warszawa – Lublin (nr 7) z linią Lublin – Przeworsk (nr 68), jest już nowy tor i sieć trakcyjna. Inwestycja PKP Polskich Linii Kolejowych S.A. za ok. 20 mln zł usprawni ruch pociągów w południowo-wschodniej Polsce oraz zwiększy przepustowość Lubelskiego Węzła Kolejowego. Prace są częścią rozszerzonego projektu modernizacji linii </w:t>
      </w:r>
      <w:r w:rsidR="00EA34C2" w:rsidRPr="007F4657">
        <w:rPr>
          <w:rFonts w:cs="Arial"/>
          <w:sz w:val="22"/>
          <w:szCs w:val="22"/>
        </w:rPr>
        <w:t xml:space="preserve">nr 7 </w:t>
      </w:r>
      <w:r w:rsidRPr="007F4657">
        <w:rPr>
          <w:rFonts w:cs="Arial"/>
          <w:sz w:val="22"/>
          <w:szCs w:val="22"/>
        </w:rPr>
        <w:t>Warszawa</w:t>
      </w:r>
      <w:r w:rsidR="00EA34C2" w:rsidRPr="007F4657">
        <w:rPr>
          <w:rFonts w:cs="Arial"/>
          <w:sz w:val="22"/>
          <w:szCs w:val="22"/>
        </w:rPr>
        <w:t xml:space="preserve"> - Lublin</w:t>
      </w:r>
      <w:r w:rsidRPr="007F4657">
        <w:rPr>
          <w:rFonts w:cs="Arial"/>
          <w:sz w:val="22"/>
          <w:szCs w:val="22"/>
        </w:rPr>
        <w:t xml:space="preserve"> o wartości ponad 3,5 mld zł, ze środków POIiŚ.</w:t>
      </w:r>
    </w:p>
    <w:p w:rsidR="00B0310A" w:rsidRPr="007F4657" w:rsidRDefault="004E1E15" w:rsidP="007F4657">
      <w:pPr>
        <w:spacing w:before="100" w:beforeAutospacing="1" w:after="100" w:afterAutospacing="1" w:line="360" w:lineRule="auto"/>
      </w:pPr>
      <w:r w:rsidRPr="007F4657">
        <w:t xml:space="preserve">Łącznica pomiędzy liniami Warszawa – Lublin i Lublin – Stalowa Wola (Przeworsk) stworzy lepsze warunki dla rozwoju i obsługi ruchu pasażerskiego m.in. dla przyszłych przewozów aglomeracyjnych. Nowa trasa jest </w:t>
      </w:r>
      <w:r w:rsidR="00EA34C2" w:rsidRPr="007F4657">
        <w:t xml:space="preserve">również </w:t>
      </w:r>
      <w:r w:rsidRPr="007F4657">
        <w:t xml:space="preserve">korzystnym rozwiązaniem dla połączeń towarowych. Składy w relacji północ-południe pojadą łącznicą i nie będą zajmowały torów na stacji Lublin Główny. </w:t>
      </w:r>
      <w:r w:rsidR="00BD574C" w:rsidRPr="007F4657">
        <w:t xml:space="preserve">Dzięki temu zwiększy się przepustowość stacji, co umożliwi przejazd większej liczby pociągów pasażerskich. </w:t>
      </w:r>
    </w:p>
    <w:p w:rsidR="00A34145" w:rsidRPr="007F4657" w:rsidRDefault="007902E4" w:rsidP="007F4657">
      <w:pPr>
        <w:spacing w:before="100" w:beforeAutospacing="1" w:after="100" w:afterAutospacing="1" w:line="360" w:lineRule="auto"/>
        <w:rPr>
          <w:rFonts w:cs="Arial"/>
          <w:b/>
        </w:rPr>
      </w:pPr>
      <w:r w:rsidRPr="007F4657">
        <w:rPr>
          <w:rFonts w:cs="Arial"/>
          <w:b/>
          <w:i/>
        </w:rPr>
        <w:t>–</w:t>
      </w:r>
      <w:r w:rsidR="0024300B" w:rsidRPr="007F4657">
        <w:rPr>
          <w:rFonts w:cs="Arial"/>
        </w:rPr>
        <w:t xml:space="preserve"> </w:t>
      </w:r>
      <w:r w:rsidR="0024300B" w:rsidRPr="007F4657">
        <w:rPr>
          <w:rFonts w:cs="Arial"/>
          <w:b/>
          <w:i/>
        </w:rPr>
        <w:t xml:space="preserve">Łącznica, budowana z wykorzystaniem środków unijnych POIiŚ, to zwiększenie możliwości transportu kolejowego </w:t>
      </w:r>
      <w:r w:rsidR="00301E5C" w:rsidRPr="007F4657">
        <w:rPr>
          <w:rFonts w:cs="Arial"/>
          <w:b/>
          <w:i/>
        </w:rPr>
        <w:t xml:space="preserve">zarówno </w:t>
      </w:r>
      <w:r w:rsidR="00390D83" w:rsidRPr="007F4657">
        <w:rPr>
          <w:rFonts w:cs="Arial"/>
          <w:b/>
          <w:i/>
        </w:rPr>
        <w:t>na</w:t>
      </w:r>
      <w:r w:rsidR="0024300B" w:rsidRPr="007F4657">
        <w:rPr>
          <w:rFonts w:cs="Arial"/>
          <w:b/>
          <w:i/>
        </w:rPr>
        <w:t xml:space="preserve"> Lubelskim Węźle Kolejowym, </w:t>
      </w:r>
      <w:r w:rsidR="00301E5C" w:rsidRPr="007F4657">
        <w:rPr>
          <w:rFonts w:cs="Arial"/>
          <w:b/>
          <w:i/>
        </w:rPr>
        <w:t>jak i całym województwie</w:t>
      </w:r>
      <w:r w:rsidR="00BD574C" w:rsidRPr="007F4657">
        <w:rPr>
          <w:rFonts w:cs="Arial"/>
          <w:b/>
          <w:i/>
        </w:rPr>
        <w:t xml:space="preserve">. </w:t>
      </w:r>
      <w:r w:rsidR="00390D83" w:rsidRPr="007F4657">
        <w:rPr>
          <w:rFonts w:cs="Arial"/>
          <w:b/>
          <w:i/>
        </w:rPr>
        <w:t xml:space="preserve">Inwestycja wpisuje się w rozwój transportu kolejowego na terenie Lubelszczyzny </w:t>
      </w:r>
      <w:r w:rsidR="00301E5C" w:rsidRPr="007F4657">
        <w:rPr>
          <w:rFonts w:cs="Arial"/>
          <w:b/>
          <w:i/>
        </w:rPr>
        <w:t xml:space="preserve"> – </w:t>
      </w:r>
      <w:r w:rsidR="00301E5C" w:rsidRPr="007F4657">
        <w:rPr>
          <w:rFonts w:cs="Arial"/>
          <w:b/>
        </w:rPr>
        <w:t xml:space="preserve">mówi Arnold Bresch, członek Zarządu PKP Polskich Linii Kolejowych S.A. </w:t>
      </w:r>
    </w:p>
    <w:p w:rsidR="00301E5C" w:rsidRPr="007F4657" w:rsidRDefault="00301E5C" w:rsidP="007F4657">
      <w:pPr>
        <w:pStyle w:val="Nagwek2"/>
      </w:pPr>
      <w:r w:rsidRPr="007F4657">
        <w:t>Sprawne podróże koleją w obrębie miasta</w:t>
      </w:r>
    </w:p>
    <w:p w:rsidR="00B0310A" w:rsidRPr="00A34145" w:rsidRDefault="00B0310A" w:rsidP="007F4657">
      <w:pPr>
        <w:spacing w:before="100" w:beforeAutospacing="1" w:after="100" w:afterAutospacing="1" w:line="360" w:lineRule="auto"/>
        <w:rPr>
          <w:rFonts w:cs="Arial"/>
        </w:rPr>
      </w:pPr>
      <w:r w:rsidRPr="007F4657">
        <w:rPr>
          <w:rFonts w:cs="Arial"/>
        </w:rPr>
        <w:t xml:space="preserve">Na budowie łącznicy zakończyły się zasadnicze prace. Na nasypie o długości ok. 1200 metrów ułożono nowy tor i ustawiono sieć trakcyjną. Wyprofilowany został tor. </w:t>
      </w:r>
      <w:r w:rsidR="000C4514" w:rsidRPr="007F4657">
        <w:rPr>
          <w:rFonts w:cs="Arial"/>
        </w:rPr>
        <w:t>Regulowana jest sieć trakcyjna</w:t>
      </w:r>
      <w:r w:rsidRPr="007F4657">
        <w:rPr>
          <w:rFonts w:cs="Arial"/>
        </w:rPr>
        <w:t xml:space="preserve">. Dla mieszkańców, szczególnie dla użytkowników ogródków działkowych, przygotowano przejście pod torami. Wybudowano też wiadukt kolejowy nad ul. Stary Gaj. Kontynuowane są prace związane z budową układu drogowego pod obiektem. Równolegle powstaje system odwodnienia układu torowego. </w:t>
      </w:r>
      <w:r w:rsidRPr="00A34145">
        <w:rPr>
          <w:rFonts w:cs="Arial"/>
        </w:rPr>
        <w:t xml:space="preserve">Roboty realizowane przez firmę </w:t>
      </w:r>
      <w:proofErr w:type="spellStart"/>
      <w:r w:rsidRPr="00A34145">
        <w:rPr>
          <w:rFonts w:cs="Arial"/>
        </w:rPr>
        <w:t>Track</w:t>
      </w:r>
      <w:proofErr w:type="spellEnd"/>
      <w:r w:rsidRPr="00A34145">
        <w:rPr>
          <w:rFonts w:cs="Arial"/>
        </w:rPr>
        <w:t xml:space="preserve"> </w:t>
      </w:r>
      <w:proofErr w:type="spellStart"/>
      <w:r w:rsidRPr="00A34145">
        <w:rPr>
          <w:rFonts w:cs="Arial"/>
        </w:rPr>
        <w:t>Tec</w:t>
      </w:r>
      <w:proofErr w:type="spellEnd"/>
      <w:r w:rsidRPr="00A34145">
        <w:rPr>
          <w:rFonts w:cs="Arial"/>
        </w:rPr>
        <w:t xml:space="preserve"> Construction potrwają do końca października 2021 r.</w:t>
      </w:r>
    </w:p>
    <w:p w:rsidR="00A34145" w:rsidRDefault="00A34145" w:rsidP="007F4657">
      <w:pPr>
        <w:spacing w:before="100" w:beforeAutospacing="1" w:after="100" w:afterAutospacing="1" w:line="360" w:lineRule="auto"/>
        <w:rPr>
          <w:rFonts w:cs="Arial"/>
        </w:rPr>
      </w:pPr>
      <w:r w:rsidRPr="00A34145">
        <w:rPr>
          <w:rFonts w:cs="Arial"/>
          <w:b/>
          <w:i/>
        </w:rPr>
        <w:t>–</w:t>
      </w:r>
      <w:r w:rsidRPr="00A34145">
        <w:rPr>
          <w:rFonts w:cs="Arial"/>
          <w:i/>
        </w:rPr>
        <w:t xml:space="preserve"> </w:t>
      </w:r>
      <w:r w:rsidRPr="00A34145">
        <w:rPr>
          <w:rFonts w:cs="Arial"/>
          <w:b/>
          <w:i/>
          <w:color w:val="000000"/>
        </w:rPr>
        <w:t xml:space="preserve"> To ważny element modernizacji linii kolejowych nr 7 i 68. Dzięki tej łącznicy unikamy włączenia w ruch na linii 68 dworca w Lublinie. Jest to znakomita inwestycja, która zgodnie z zapowiedziami ma być oddana do użytku w II kwartale 2022 roku, co niewątpliwie usprawni organizację transportu kolejowego, i to zarówno pasażerskiego, jak i towarowego - mówił Lech Sprawka, wojewoda lubelski. - Pierwszy etap, który kończy się na Lublinie już przynosi znakomity rezultat w postaci znacznego skrócenia czasu podróży z Lublina do Warszawy. Podobna sytuacja będzie dotyczyć</w:t>
      </w:r>
      <w:r w:rsidRPr="00A34145">
        <w:rPr>
          <w:rFonts w:cs="Arial"/>
          <w:b/>
          <w:i/>
          <w:color w:val="000000"/>
        </w:rPr>
        <w:t xml:space="preserve"> przejazdów na linii 68 – </w:t>
      </w:r>
      <w:r w:rsidRPr="00A34145">
        <w:rPr>
          <w:rFonts w:cs="Arial"/>
          <w:b/>
          <w:color w:val="000000"/>
        </w:rPr>
        <w:t>dodał</w:t>
      </w:r>
      <w:r w:rsidRPr="00A34145">
        <w:rPr>
          <w:rFonts w:cs="Arial"/>
          <w:color w:val="000000"/>
        </w:rPr>
        <w:t xml:space="preserve"> </w:t>
      </w:r>
      <w:r w:rsidRPr="00A34145">
        <w:rPr>
          <w:rFonts w:cs="Arial"/>
          <w:b/>
        </w:rPr>
        <w:t xml:space="preserve">Lech Sprawka, wojewoda lubelski.  </w:t>
      </w:r>
    </w:p>
    <w:p w:rsidR="004E1E15" w:rsidRPr="007F4657" w:rsidRDefault="00B0310A" w:rsidP="007F4657">
      <w:pPr>
        <w:spacing w:before="100" w:beforeAutospacing="1" w:after="100" w:afterAutospacing="1" w:line="360" w:lineRule="auto"/>
        <w:rPr>
          <w:rFonts w:cs="Arial"/>
        </w:rPr>
      </w:pPr>
      <w:bookmarkStart w:id="0" w:name="_GoBack"/>
      <w:bookmarkEnd w:id="0"/>
      <w:r w:rsidRPr="007F4657">
        <w:rPr>
          <w:rFonts w:cs="Arial"/>
        </w:rPr>
        <w:lastRenderedPageBreak/>
        <w:t>W następnym etapie powstaną urządzenia sterowania ruchem kolejowym (</w:t>
      </w:r>
      <w:proofErr w:type="spellStart"/>
      <w:r w:rsidRPr="007F4657">
        <w:rPr>
          <w:rFonts w:cs="Arial"/>
        </w:rPr>
        <w:t>srk</w:t>
      </w:r>
      <w:proofErr w:type="spellEnd"/>
      <w:r w:rsidRPr="007F4657">
        <w:rPr>
          <w:rFonts w:cs="Arial"/>
        </w:rPr>
        <w:t xml:space="preserve">), które umożliwią sprawne przejazdy pociągów. Prace związane z budową systemu </w:t>
      </w:r>
      <w:proofErr w:type="spellStart"/>
      <w:r w:rsidRPr="007F4657">
        <w:rPr>
          <w:rFonts w:cs="Arial"/>
        </w:rPr>
        <w:t>srk</w:t>
      </w:r>
      <w:proofErr w:type="spellEnd"/>
      <w:r w:rsidRPr="007F4657">
        <w:rPr>
          <w:rFonts w:cs="Arial"/>
        </w:rPr>
        <w:t xml:space="preserve"> realizuje firma </w:t>
      </w:r>
      <w:proofErr w:type="spellStart"/>
      <w:r w:rsidRPr="007F4657">
        <w:rPr>
          <w:rFonts w:cs="Arial"/>
        </w:rPr>
        <w:t>Thales</w:t>
      </w:r>
      <w:proofErr w:type="spellEnd"/>
      <w:r w:rsidRPr="007F4657">
        <w:rPr>
          <w:rFonts w:cs="Arial"/>
        </w:rPr>
        <w:t xml:space="preserve">. Wykonawca deklaruje, że zakończy je w II kwartale 2022 r. Po wybudowaniu urządzeń </w:t>
      </w:r>
      <w:proofErr w:type="spellStart"/>
      <w:r w:rsidRPr="007F4657">
        <w:rPr>
          <w:rFonts w:cs="Arial"/>
        </w:rPr>
        <w:t>srk</w:t>
      </w:r>
      <w:proofErr w:type="spellEnd"/>
      <w:r w:rsidRPr="007F4657">
        <w:rPr>
          <w:rFonts w:cs="Arial"/>
        </w:rPr>
        <w:t xml:space="preserve"> możliwy będzie przejazd pociągów po łącznicy. </w:t>
      </w:r>
    </w:p>
    <w:p w:rsidR="007E3185" w:rsidRPr="007F4657" w:rsidRDefault="007E3185" w:rsidP="007F4657">
      <w:pPr>
        <w:spacing w:before="100" w:beforeAutospacing="1" w:after="100" w:afterAutospacing="1" w:line="360" w:lineRule="auto"/>
        <w:rPr>
          <w:rFonts w:eastAsia="Calibri" w:cs="Arial"/>
        </w:rPr>
      </w:pPr>
      <w:r w:rsidRPr="007F4657">
        <w:rPr>
          <w:rFonts w:cs="Arial"/>
          <w:b/>
        </w:rPr>
        <w:t xml:space="preserve">Budowa łącznicy realizowana jest dzięki rozszerzeniu projektu </w:t>
      </w:r>
      <w:r w:rsidRPr="007F4657">
        <w:rPr>
          <w:rFonts w:cs="Arial"/>
        </w:rPr>
        <w:t>pn.</w:t>
      </w:r>
      <w:r w:rsidRPr="007F4657">
        <w:rPr>
          <w:rFonts w:cs="Arial"/>
          <w:b/>
        </w:rPr>
        <w:t xml:space="preserve"> </w:t>
      </w:r>
      <w:r w:rsidRPr="007F4657">
        <w:rPr>
          <w:rFonts w:cs="Arial"/>
        </w:rPr>
        <w:t>„</w:t>
      </w:r>
      <w:r w:rsidRPr="007F4657">
        <w:rPr>
          <w:rFonts w:eastAsia="Calibri" w:cs="Arial"/>
        </w:rPr>
        <w:t xml:space="preserve">Prace na linii kolejowej nr 7 Warszawa Wschodnia Osobowa – Dorohusk na odcinku Warszawa – Otwock – Dęblin – Lublin, etap I”. Wartość ponad 3,5 mld zł, z czego kwota dofinansowania unijnego POIiŚ to ponad 2,9 mld zł. </w:t>
      </w:r>
      <w:r w:rsidRPr="007F4657">
        <w:rPr>
          <w:rFonts w:cs="Arial"/>
        </w:rPr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Pr="007F4657">
          <w:rPr>
            <w:rStyle w:val="Hipercze"/>
            <w:rFonts w:eastAsia="Calibri" w:cs="Arial"/>
          </w:rPr>
          <w:t>www.warszawa-lublin.pl</w:t>
        </w:r>
      </w:hyperlink>
      <w:r w:rsidRPr="007F4657">
        <w:rPr>
          <w:rFonts w:cs="Arial"/>
        </w:rPr>
        <w:t>.</w:t>
      </w:r>
    </w:p>
    <w:p w:rsidR="00C22107" w:rsidRPr="001022B6" w:rsidRDefault="007F3648" w:rsidP="007F4657">
      <w:pPr>
        <w:spacing w:after="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7F0857">
        <w:rPr>
          <w:rStyle w:val="Pogrubienie"/>
          <w:rFonts w:cs="Arial"/>
        </w:rPr>
        <w:br/>
      </w:r>
      <w:r w:rsidR="00301E5C">
        <w:t>Magdalena Janus</w:t>
      </w:r>
      <w:r w:rsidR="00A15AED" w:rsidRPr="007F3648">
        <w:br/>
      </w:r>
      <w:r w:rsidR="007E3185">
        <w:t xml:space="preserve">zespół </w:t>
      </w:r>
      <w:r w:rsidR="00A15AED" w:rsidRPr="007F3648">
        <w:t>prasowy</w:t>
      </w:r>
      <w:r w:rsidR="00A15AED" w:rsidRPr="007F3648">
        <w:br/>
      </w:r>
      <w:r w:rsidR="00C81956" w:rsidRPr="00C81956">
        <w:rPr>
          <w:rStyle w:val="Pogrubienie"/>
          <w:rFonts w:cs="Arial"/>
          <w:b w:val="0"/>
        </w:rPr>
        <w:t>PKP Polskie Linie Kolejowe S.A.</w:t>
      </w:r>
      <w:r w:rsidR="007F0857">
        <w:rPr>
          <w:rStyle w:val="Hipercze"/>
          <w:color w:val="0071BC"/>
          <w:shd w:val="clear" w:color="auto" w:fill="FFFFFF"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7E3185">
        <w:t> </w:t>
      </w:r>
      <w:r w:rsidR="00301E5C">
        <w:t xml:space="preserve">22 473 30 02 </w:t>
      </w:r>
    </w:p>
    <w:p w:rsidR="007F4657" w:rsidRDefault="007F4657" w:rsidP="00390D83">
      <w:pPr>
        <w:spacing w:after="120"/>
        <w:rPr>
          <w:rFonts w:cs="Arial"/>
        </w:rPr>
      </w:pPr>
    </w:p>
    <w:p w:rsidR="00C22107" w:rsidRDefault="00AC2669" w:rsidP="00390D83">
      <w:pPr>
        <w:spacing w:after="120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8E4647" w:rsidRDefault="008E4647" w:rsidP="00A15AED">
      <w:pPr>
        <w:rPr>
          <w:rFonts w:cs="Arial"/>
        </w:rPr>
      </w:pPr>
    </w:p>
    <w:p w:rsidR="008E4647" w:rsidRPr="00CE300B" w:rsidRDefault="008E4647" w:rsidP="00A15AED">
      <w:pPr>
        <w:rPr>
          <w:rFonts w:cs="Arial"/>
        </w:rPr>
      </w:pPr>
    </w:p>
    <w:sectPr w:rsidR="008E4647" w:rsidRPr="00CE300B" w:rsidSect="00B0310A">
      <w:headerReference w:type="first" r:id="rId9"/>
      <w:footerReference w:type="first" r:id="rId10"/>
      <w:pgSz w:w="11906" w:h="16838"/>
      <w:pgMar w:top="1276" w:right="991" w:bottom="426" w:left="851" w:header="142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47" w:rsidRDefault="00991247" w:rsidP="009D1AEB">
      <w:pPr>
        <w:spacing w:after="0" w:line="240" w:lineRule="auto"/>
      </w:pPr>
      <w:r>
        <w:separator/>
      </w:r>
    </w:p>
  </w:endnote>
  <w:endnote w:type="continuationSeparator" w:id="0">
    <w:p w:rsidR="00991247" w:rsidRDefault="0099124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C5" w:rsidRPr="0025604B" w:rsidRDefault="004255C5" w:rsidP="004255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255C5" w:rsidRPr="0025604B" w:rsidRDefault="004255C5" w:rsidP="004255C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4255C5" w:rsidP="004255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47" w:rsidRDefault="00991247" w:rsidP="009D1AEB">
      <w:pPr>
        <w:spacing w:after="0" w:line="240" w:lineRule="auto"/>
      </w:pPr>
      <w:r>
        <w:separator/>
      </w:r>
    </w:p>
  </w:footnote>
  <w:footnote w:type="continuationSeparator" w:id="0">
    <w:p w:rsidR="00991247" w:rsidRDefault="0099124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>
          <wp:extent cx="6089650" cy="588013"/>
          <wp:effectExtent l="0" t="0" r="6350" b="2540"/>
          <wp:docPr id="41" name="Obraz 41" descr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D574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634"/>
    <w:rsid w:val="00024B1F"/>
    <w:rsid w:val="000423C4"/>
    <w:rsid w:val="00056B6A"/>
    <w:rsid w:val="00084F81"/>
    <w:rsid w:val="00092551"/>
    <w:rsid w:val="000B5DA8"/>
    <w:rsid w:val="000C14AC"/>
    <w:rsid w:val="000C4514"/>
    <w:rsid w:val="000D25B2"/>
    <w:rsid w:val="001022B6"/>
    <w:rsid w:val="00123F98"/>
    <w:rsid w:val="001400D2"/>
    <w:rsid w:val="001672E7"/>
    <w:rsid w:val="00183923"/>
    <w:rsid w:val="00184A81"/>
    <w:rsid w:val="001B5A50"/>
    <w:rsid w:val="001C33AD"/>
    <w:rsid w:val="001C3EFD"/>
    <w:rsid w:val="001D245F"/>
    <w:rsid w:val="001E504E"/>
    <w:rsid w:val="001E6944"/>
    <w:rsid w:val="001F1AC0"/>
    <w:rsid w:val="001F4E31"/>
    <w:rsid w:val="001F5C79"/>
    <w:rsid w:val="00212ABE"/>
    <w:rsid w:val="002213FC"/>
    <w:rsid w:val="00236985"/>
    <w:rsid w:val="0024300B"/>
    <w:rsid w:val="00261F73"/>
    <w:rsid w:val="00265CD6"/>
    <w:rsid w:val="002726F2"/>
    <w:rsid w:val="00273884"/>
    <w:rsid w:val="00274CD3"/>
    <w:rsid w:val="00277762"/>
    <w:rsid w:val="00286543"/>
    <w:rsid w:val="00291328"/>
    <w:rsid w:val="00293EAC"/>
    <w:rsid w:val="002A0AC6"/>
    <w:rsid w:val="002A6219"/>
    <w:rsid w:val="002A74EA"/>
    <w:rsid w:val="002B6840"/>
    <w:rsid w:val="002D73AE"/>
    <w:rsid w:val="002F6767"/>
    <w:rsid w:val="002F6C8B"/>
    <w:rsid w:val="003019BA"/>
    <w:rsid w:val="00301E5C"/>
    <w:rsid w:val="00321C15"/>
    <w:rsid w:val="00344146"/>
    <w:rsid w:val="0034633C"/>
    <w:rsid w:val="00350BB2"/>
    <w:rsid w:val="003571E1"/>
    <w:rsid w:val="00380D7A"/>
    <w:rsid w:val="00390D83"/>
    <w:rsid w:val="00392E3D"/>
    <w:rsid w:val="00393F2D"/>
    <w:rsid w:val="003C077C"/>
    <w:rsid w:val="003C4817"/>
    <w:rsid w:val="003E0370"/>
    <w:rsid w:val="00404A59"/>
    <w:rsid w:val="004165CD"/>
    <w:rsid w:val="004255C5"/>
    <w:rsid w:val="00434CF3"/>
    <w:rsid w:val="004445E8"/>
    <w:rsid w:val="00452D42"/>
    <w:rsid w:val="00461B3F"/>
    <w:rsid w:val="004628C2"/>
    <w:rsid w:val="00472011"/>
    <w:rsid w:val="004855EB"/>
    <w:rsid w:val="00496349"/>
    <w:rsid w:val="004C44F2"/>
    <w:rsid w:val="004D387D"/>
    <w:rsid w:val="004E1A02"/>
    <w:rsid w:val="004E1E15"/>
    <w:rsid w:val="005019FF"/>
    <w:rsid w:val="00510D2F"/>
    <w:rsid w:val="00513994"/>
    <w:rsid w:val="00513B80"/>
    <w:rsid w:val="005175A0"/>
    <w:rsid w:val="00524FB8"/>
    <w:rsid w:val="00525E01"/>
    <w:rsid w:val="00534F5F"/>
    <w:rsid w:val="00536298"/>
    <w:rsid w:val="00547BFD"/>
    <w:rsid w:val="0057076B"/>
    <w:rsid w:val="0058196D"/>
    <w:rsid w:val="0058666A"/>
    <w:rsid w:val="00587AE4"/>
    <w:rsid w:val="00596BC5"/>
    <w:rsid w:val="005B273E"/>
    <w:rsid w:val="005E319D"/>
    <w:rsid w:val="00603727"/>
    <w:rsid w:val="00621264"/>
    <w:rsid w:val="0063625B"/>
    <w:rsid w:val="00642773"/>
    <w:rsid w:val="0066712C"/>
    <w:rsid w:val="006756D9"/>
    <w:rsid w:val="0069021C"/>
    <w:rsid w:val="00695ECA"/>
    <w:rsid w:val="006A7791"/>
    <w:rsid w:val="006B5761"/>
    <w:rsid w:val="006C137D"/>
    <w:rsid w:val="006C1FE4"/>
    <w:rsid w:val="006C3528"/>
    <w:rsid w:val="006C6C1C"/>
    <w:rsid w:val="006C78ED"/>
    <w:rsid w:val="006E6285"/>
    <w:rsid w:val="007165B0"/>
    <w:rsid w:val="007241A5"/>
    <w:rsid w:val="0073523F"/>
    <w:rsid w:val="00743A3E"/>
    <w:rsid w:val="0074421A"/>
    <w:rsid w:val="007565AF"/>
    <w:rsid w:val="0076226C"/>
    <w:rsid w:val="00787390"/>
    <w:rsid w:val="00787BDE"/>
    <w:rsid w:val="007902E4"/>
    <w:rsid w:val="007E2ED5"/>
    <w:rsid w:val="007E3185"/>
    <w:rsid w:val="007E539C"/>
    <w:rsid w:val="007E59C5"/>
    <w:rsid w:val="007E6E9C"/>
    <w:rsid w:val="007F0857"/>
    <w:rsid w:val="007F3648"/>
    <w:rsid w:val="007F39B8"/>
    <w:rsid w:val="007F4657"/>
    <w:rsid w:val="00807985"/>
    <w:rsid w:val="00853AD2"/>
    <w:rsid w:val="00860074"/>
    <w:rsid w:val="00880556"/>
    <w:rsid w:val="00881EF8"/>
    <w:rsid w:val="0089453A"/>
    <w:rsid w:val="008B34DE"/>
    <w:rsid w:val="008C46AC"/>
    <w:rsid w:val="008D0CA4"/>
    <w:rsid w:val="008E4647"/>
    <w:rsid w:val="009122E3"/>
    <w:rsid w:val="00914E5F"/>
    <w:rsid w:val="00935DE0"/>
    <w:rsid w:val="00950FDE"/>
    <w:rsid w:val="009703A8"/>
    <w:rsid w:val="00971F42"/>
    <w:rsid w:val="00977784"/>
    <w:rsid w:val="0098646B"/>
    <w:rsid w:val="00991247"/>
    <w:rsid w:val="009C5BAB"/>
    <w:rsid w:val="009C7302"/>
    <w:rsid w:val="009D1AEB"/>
    <w:rsid w:val="00A15AED"/>
    <w:rsid w:val="00A34145"/>
    <w:rsid w:val="00A63A55"/>
    <w:rsid w:val="00A64E65"/>
    <w:rsid w:val="00A70BD2"/>
    <w:rsid w:val="00A74F0F"/>
    <w:rsid w:val="00A94B93"/>
    <w:rsid w:val="00AB1AC3"/>
    <w:rsid w:val="00AB5422"/>
    <w:rsid w:val="00AC2669"/>
    <w:rsid w:val="00AF35EE"/>
    <w:rsid w:val="00B0310A"/>
    <w:rsid w:val="00B300A3"/>
    <w:rsid w:val="00B537BA"/>
    <w:rsid w:val="00B92FED"/>
    <w:rsid w:val="00B9337A"/>
    <w:rsid w:val="00BA2E96"/>
    <w:rsid w:val="00BB55D8"/>
    <w:rsid w:val="00BC5A41"/>
    <w:rsid w:val="00BD574C"/>
    <w:rsid w:val="00BE7C11"/>
    <w:rsid w:val="00C01090"/>
    <w:rsid w:val="00C2020A"/>
    <w:rsid w:val="00C22107"/>
    <w:rsid w:val="00C23925"/>
    <w:rsid w:val="00C27859"/>
    <w:rsid w:val="00C33C23"/>
    <w:rsid w:val="00C41FA1"/>
    <w:rsid w:val="00C427E5"/>
    <w:rsid w:val="00C428D8"/>
    <w:rsid w:val="00C432C3"/>
    <w:rsid w:val="00C5650C"/>
    <w:rsid w:val="00C601D6"/>
    <w:rsid w:val="00C60FFB"/>
    <w:rsid w:val="00C6153C"/>
    <w:rsid w:val="00C6649C"/>
    <w:rsid w:val="00C74D74"/>
    <w:rsid w:val="00C81956"/>
    <w:rsid w:val="00C83545"/>
    <w:rsid w:val="00CB152F"/>
    <w:rsid w:val="00CB60CC"/>
    <w:rsid w:val="00CC5659"/>
    <w:rsid w:val="00CD5A1D"/>
    <w:rsid w:val="00CD74A9"/>
    <w:rsid w:val="00CE300B"/>
    <w:rsid w:val="00D0250E"/>
    <w:rsid w:val="00D12C97"/>
    <w:rsid w:val="00D149FC"/>
    <w:rsid w:val="00D169A3"/>
    <w:rsid w:val="00D34939"/>
    <w:rsid w:val="00D374A3"/>
    <w:rsid w:val="00D44CBD"/>
    <w:rsid w:val="00D5157B"/>
    <w:rsid w:val="00D60B97"/>
    <w:rsid w:val="00D7030F"/>
    <w:rsid w:val="00DB747A"/>
    <w:rsid w:val="00DC2410"/>
    <w:rsid w:val="00DC49F5"/>
    <w:rsid w:val="00DC57B2"/>
    <w:rsid w:val="00DC606A"/>
    <w:rsid w:val="00E123C6"/>
    <w:rsid w:val="00E20FF9"/>
    <w:rsid w:val="00E24026"/>
    <w:rsid w:val="00E32CD7"/>
    <w:rsid w:val="00E43C2C"/>
    <w:rsid w:val="00E5252A"/>
    <w:rsid w:val="00E85008"/>
    <w:rsid w:val="00E85621"/>
    <w:rsid w:val="00E94539"/>
    <w:rsid w:val="00EA34C2"/>
    <w:rsid w:val="00EC4DF6"/>
    <w:rsid w:val="00EC4E43"/>
    <w:rsid w:val="00ED1D61"/>
    <w:rsid w:val="00ED2D99"/>
    <w:rsid w:val="00EE1B6A"/>
    <w:rsid w:val="00EF5EE3"/>
    <w:rsid w:val="00F2325E"/>
    <w:rsid w:val="00F42EC4"/>
    <w:rsid w:val="00F623FA"/>
    <w:rsid w:val="00F63600"/>
    <w:rsid w:val="00F63D2D"/>
    <w:rsid w:val="00F675BD"/>
    <w:rsid w:val="00F87771"/>
    <w:rsid w:val="00F941E8"/>
    <w:rsid w:val="00FA16B2"/>
    <w:rsid w:val="00FC2C76"/>
    <w:rsid w:val="00FC40C8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33829-FB2A-494C-A047-F1D5C417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45F3-D272-4610-B5A4-02B00342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łącznica w Lublinie zwiększy możliwości transportu kolejowego w regonie</vt:lpstr>
    </vt:vector>
  </TitlesOfParts>
  <Company>PKP PLK S.A.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łącznica w Lublinie zwiększy możliwości transportu kolejowego w regionie</dc:title>
  <dc:subject/>
  <dc:creator>Rafal.Wilgusiak@plk-sa.pl</dc:creator>
  <cp:keywords/>
  <dc:description/>
  <cp:lastModifiedBy>Dudzińska Maria</cp:lastModifiedBy>
  <cp:revision>3</cp:revision>
  <cp:lastPrinted>2020-08-27T09:30:00Z</cp:lastPrinted>
  <dcterms:created xsi:type="dcterms:W3CDTF">2021-10-05T11:52:00Z</dcterms:created>
  <dcterms:modified xsi:type="dcterms:W3CDTF">2021-10-05T12:09:00Z</dcterms:modified>
</cp:coreProperties>
</file>