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7D5" w:rsidRPr="00C83465" w:rsidRDefault="00600926" w:rsidP="004007D5">
      <w:pPr>
        <w:rPr>
          <w:rFonts w:ascii="Arial" w:hAnsi="Arial" w:cs="Arial"/>
          <w:b/>
          <w:color w:val="000000" w:themeColor="text1"/>
          <w:sz w:val="16"/>
          <w:szCs w:val="16"/>
        </w:rPr>
      </w:pPr>
      <w:r>
        <w:rPr>
          <w:rFonts w:ascii="Arial" w:hAnsi="Arial" w:cs="Arial"/>
          <w:b/>
          <w:color w:val="000000" w:themeColor="text1"/>
          <w:sz w:val="16"/>
          <w:szCs w:val="16"/>
        </w:rPr>
        <w:t>`</w:t>
      </w:r>
      <w:r w:rsidR="004007D5" w:rsidRPr="00C83465">
        <w:rPr>
          <w:rFonts w:ascii="Arial" w:hAnsi="Arial" w:cs="Arial"/>
          <w:b/>
          <w:color w:val="000000" w:themeColor="text1"/>
          <w:sz w:val="16"/>
          <w:szCs w:val="16"/>
        </w:rPr>
        <w:t>PKP Polskie Linie Kolejowe S.A.</w:t>
      </w:r>
    </w:p>
    <w:p w:rsidR="004007D5" w:rsidRPr="00C83465" w:rsidRDefault="004007D5" w:rsidP="004007D5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C83465">
        <w:rPr>
          <w:rFonts w:ascii="Arial" w:hAnsi="Arial" w:cs="Arial"/>
          <w:b/>
          <w:color w:val="000000" w:themeColor="text1"/>
          <w:sz w:val="16"/>
          <w:szCs w:val="16"/>
        </w:rPr>
        <w:t>Biuro Komunikacji i Promocji</w:t>
      </w:r>
    </w:p>
    <w:p w:rsidR="004007D5" w:rsidRPr="00C83465" w:rsidRDefault="004007D5" w:rsidP="004007D5">
      <w:pPr>
        <w:rPr>
          <w:rFonts w:ascii="Arial" w:hAnsi="Arial" w:cs="Arial"/>
          <w:color w:val="000000" w:themeColor="text1"/>
          <w:sz w:val="16"/>
          <w:szCs w:val="16"/>
        </w:rPr>
      </w:pPr>
      <w:r w:rsidRPr="00C83465">
        <w:rPr>
          <w:rFonts w:ascii="Arial" w:hAnsi="Arial" w:cs="Arial"/>
          <w:color w:val="000000" w:themeColor="text1"/>
          <w:sz w:val="16"/>
          <w:szCs w:val="16"/>
        </w:rPr>
        <w:t>Targowa 74, 03 - 734 Warszawa</w:t>
      </w:r>
    </w:p>
    <w:p w:rsidR="004007D5" w:rsidRPr="00C83465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r w:rsidRPr="00C83465">
        <w:rPr>
          <w:rFonts w:ascii="Arial" w:hAnsi="Arial" w:cs="Arial"/>
          <w:color w:val="000000" w:themeColor="text1"/>
          <w:sz w:val="16"/>
          <w:szCs w:val="16"/>
          <w:lang w:val="en-AU"/>
        </w:rPr>
        <w:t>tel. + 48 22 473 30 02</w:t>
      </w:r>
    </w:p>
    <w:p w:rsidR="004007D5" w:rsidRPr="00C83465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proofErr w:type="gramStart"/>
      <w:r w:rsidRPr="00C83465">
        <w:rPr>
          <w:rFonts w:ascii="Arial" w:hAnsi="Arial" w:cs="Arial"/>
          <w:color w:val="000000" w:themeColor="text1"/>
          <w:sz w:val="16"/>
          <w:szCs w:val="16"/>
          <w:lang w:val="en-AU"/>
        </w:rPr>
        <w:t>fax</w:t>
      </w:r>
      <w:proofErr w:type="gramEnd"/>
      <w:r w:rsidRPr="00C83465">
        <w:rPr>
          <w:rFonts w:ascii="Arial" w:hAnsi="Arial" w:cs="Arial"/>
          <w:color w:val="000000" w:themeColor="text1"/>
          <w:sz w:val="16"/>
          <w:szCs w:val="16"/>
          <w:lang w:val="en-AU"/>
        </w:rPr>
        <w:t xml:space="preserve"> + 48 22 473 23 34</w:t>
      </w:r>
    </w:p>
    <w:p w:rsidR="004007D5" w:rsidRPr="00C83465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r w:rsidRPr="00C83465">
        <w:rPr>
          <w:rFonts w:ascii="Arial" w:hAnsi="Arial" w:cs="Arial"/>
          <w:color w:val="000000" w:themeColor="text1"/>
          <w:sz w:val="16"/>
          <w:szCs w:val="16"/>
          <w:lang w:val="en-AU"/>
        </w:rPr>
        <w:t>rzecznik@plk-sa.pl</w:t>
      </w:r>
    </w:p>
    <w:p w:rsidR="004007D5" w:rsidRPr="00C83465" w:rsidRDefault="004007D5" w:rsidP="004007D5">
      <w:pPr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C83465">
        <w:rPr>
          <w:rFonts w:ascii="Arial" w:hAnsi="Arial" w:cs="Arial"/>
          <w:color w:val="000000" w:themeColor="text1"/>
          <w:sz w:val="16"/>
          <w:szCs w:val="16"/>
        </w:rPr>
        <w:t>www</w:t>
      </w:r>
      <w:proofErr w:type="gramEnd"/>
      <w:r w:rsidRPr="00C83465">
        <w:rPr>
          <w:rFonts w:ascii="Arial" w:hAnsi="Arial" w:cs="Arial"/>
          <w:color w:val="000000" w:themeColor="text1"/>
          <w:sz w:val="16"/>
          <w:szCs w:val="16"/>
        </w:rPr>
        <w:t>.</w:t>
      </w:r>
      <w:proofErr w:type="gramStart"/>
      <w:r w:rsidRPr="00C83465">
        <w:rPr>
          <w:rFonts w:ascii="Arial" w:hAnsi="Arial" w:cs="Arial"/>
          <w:color w:val="000000" w:themeColor="text1"/>
          <w:sz w:val="16"/>
          <w:szCs w:val="16"/>
        </w:rPr>
        <w:t>plk-sa</w:t>
      </w:r>
      <w:proofErr w:type="gramEnd"/>
      <w:r w:rsidRPr="00C83465">
        <w:rPr>
          <w:rFonts w:ascii="Arial" w:hAnsi="Arial" w:cs="Arial"/>
          <w:color w:val="000000" w:themeColor="text1"/>
          <w:sz w:val="16"/>
          <w:szCs w:val="16"/>
        </w:rPr>
        <w:t>.</w:t>
      </w:r>
      <w:proofErr w:type="gramStart"/>
      <w:r w:rsidRPr="00C83465">
        <w:rPr>
          <w:rFonts w:ascii="Arial" w:hAnsi="Arial" w:cs="Arial"/>
          <w:color w:val="000000" w:themeColor="text1"/>
          <w:sz w:val="16"/>
          <w:szCs w:val="16"/>
        </w:rPr>
        <w:t>pl</w:t>
      </w:r>
      <w:proofErr w:type="gramEnd"/>
    </w:p>
    <w:p w:rsidR="004007D5" w:rsidRPr="009C5CD1" w:rsidRDefault="009C5CD1" w:rsidP="004007D5">
      <w:pPr>
        <w:spacing w:line="36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9C5CD1">
        <w:rPr>
          <w:rFonts w:ascii="Arial" w:hAnsi="Arial" w:cs="Arial"/>
          <w:color w:val="000000" w:themeColor="text1"/>
          <w:sz w:val="20"/>
          <w:szCs w:val="20"/>
        </w:rPr>
        <w:t>Szczecin</w:t>
      </w:r>
      <w:r w:rsidR="004007D5" w:rsidRPr="009C5CD1">
        <w:rPr>
          <w:rFonts w:ascii="Arial" w:hAnsi="Arial" w:cs="Arial"/>
          <w:color w:val="000000" w:themeColor="text1"/>
          <w:sz w:val="20"/>
          <w:szCs w:val="20"/>
        </w:rPr>
        <w:t>,</w:t>
      </w:r>
      <w:r w:rsidR="006B5014" w:rsidRPr="009C5CD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41832">
        <w:rPr>
          <w:rFonts w:ascii="Arial" w:hAnsi="Arial" w:cs="Arial"/>
          <w:color w:val="000000" w:themeColor="text1"/>
          <w:sz w:val="20"/>
          <w:szCs w:val="20"/>
        </w:rPr>
        <w:t>29</w:t>
      </w:r>
      <w:r w:rsidR="004007D5" w:rsidRPr="009C5CD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41832">
        <w:rPr>
          <w:rFonts w:ascii="Arial" w:hAnsi="Arial" w:cs="Arial"/>
          <w:color w:val="000000" w:themeColor="text1"/>
          <w:sz w:val="20"/>
          <w:szCs w:val="20"/>
        </w:rPr>
        <w:t>lipca</w:t>
      </w:r>
      <w:r w:rsidR="004007D5" w:rsidRPr="009C5CD1">
        <w:rPr>
          <w:rFonts w:ascii="Arial" w:hAnsi="Arial" w:cs="Arial"/>
          <w:color w:val="000000" w:themeColor="text1"/>
          <w:sz w:val="20"/>
          <w:szCs w:val="20"/>
        </w:rPr>
        <w:t xml:space="preserve"> 2019 r. </w:t>
      </w:r>
    </w:p>
    <w:p w:rsidR="007A78B8" w:rsidRDefault="007A78B8" w:rsidP="00014EAE">
      <w:pPr>
        <w:spacing w:line="360" w:lineRule="auto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4007D5" w:rsidRPr="00014EAE" w:rsidRDefault="004007D5" w:rsidP="00014EAE">
      <w:pPr>
        <w:spacing w:line="360" w:lineRule="auto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14EAE">
        <w:rPr>
          <w:rFonts w:ascii="Arial" w:hAnsi="Arial" w:cs="Arial"/>
          <w:b/>
          <w:color w:val="000000" w:themeColor="text1"/>
          <w:sz w:val="22"/>
          <w:szCs w:val="22"/>
        </w:rPr>
        <w:t>Informacja prasowa</w:t>
      </w:r>
    </w:p>
    <w:p w:rsidR="009C5CD1" w:rsidRPr="00014EAE" w:rsidRDefault="009C5CD1" w:rsidP="00014EAE">
      <w:pPr>
        <w:suppressAutoHyphens w:val="0"/>
        <w:autoSpaceDN/>
        <w:spacing w:line="360" w:lineRule="auto"/>
        <w:contextualSpacing/>
        <w:jc w:val="both"/>
        <w:textAlignment w:val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014EAE">
        <w:rPr>
          <w:rFonts w:ascii="Arial" w:eastAsiaTheme="minorHAnsi" w:hAnsi="Arial" w:cs="Arial"/>
          <w:b/>
          <w:sz w:val="22"/>
          <w:szCs w:val="22"/>
          <w:lang w:eastAsia="en-US"/>
        </w:rPr>
        <w:t>Porty Szczecin i Świnoujście obsłużą więcej pociągów towarowych</w:t>
      </w:r>
    </w:p>
    <w:p w:rsidR="009C5CD1" w:rsidRPr="00014EAE" w:rsidRDefault="009C5CD1" w:rsidP="00014EAE">
      <w:pPr>
        <w:suppressAutoHyphens w:val="0"/>
        <w:autoSpaceDN/>
        <w:spacing w:line="360" w:lineRule="auto"/>
        <w:contextualSpacing/>
        <w:jc w:val="both"/>
        <w:textAlignment w:val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14EA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PKP Polskie Linie Kolejowe S.A. </w:t>
      </w:r>
      <w:proofErr w:type="gramStart"/>
      <w:r w:rsidRPr="00014EA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podpisały</w:t>
      </w:r>
      <w:proofErr w:type="gramEnd"/>
      <w:r w:rsidRPr="00014EA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umowy za prawie 1,5 miliarda zł netto na poprawę kolejowego dostępu do portów morskich w Szczecinie i Świnoujściu. Efektem prac będzie wzrost potencjału gospodarczego województwa zachodniopomorskiego. Do portów</w:t>
      </w:r>
      <w:r w:rsidR="00283F2B" w:rsidRPr="00014EA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dojedzie więcej </w:t>
      </w:r>
      <w:r w:rsidRPr="00014EA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pociągów towarowych</w:t>
      </w:r>
      <w:r w:rsidR="00283F2B" w:rsidRPr="00014EA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. S</w:t>
      </w:r>
      <w:r w:rsidRPr="00014EA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prawniej zostaną odprawione cięższe i dłuższe sk</w:t>
      </w:r>
      <w:r w:rsidR="00283F2B" w:rsidRPr="00014EA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łady. Projekty są realizowane z </w:t>
      </w:r>
      <w:r w:rsidRPr="00014EA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dofinansowaniem unijnego instrumentu finansowego CEF „Łącząc Europę”.</w:t>
      </w:r>
    </w:p>
    <w:p w:rsidR="00283F2B" w:rsidRPr="00014EAE" w:rsidRDefault="009C5CD1" w:rsidP="00014EAE">
      <w:pPr>
        <w:suppressAutoHyphens w:val="0"/>
        <w:autoSpaceDN/>
        <w:spacing w:line="360" w:lineRule="auto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014EAE">
        <w:rPr>
          <w:rFonts w:ascii="Arial" w:eastAsiaTheme="minorHAnsi" w:hAnsi="Arial" w:cs="Arial"/>
          <w:bCs/>
          <w:sz w:val="22"/>
          <w:szCs w:val="22"/>
          <w:lang w:eastAsia="en-US"/>
        </w:rPr>
        <w:t>PKP Polskie Linie Kolejowe S.A</w:t>
      </w:r>
      <w:r w:rsidR="007F30E4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  <w:r w:rsidRPr="00014EA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proofErr w:type="gramStart"/>
      <w:r w:rsidRPr="00014EAE">
        <w:rPr>
          <w:rFonts w:ascii="Arial" w:eastAsiaTheme="minorHAnsi" w:hAnsi="Arial" w:cs="Arial"/>
          <w:bCs/>
          <w:sz w:val="22"/>
          <w:szCs w:val="22"/>
          <w:lang w:eastAsia="en-US"/>
        </w:rPr>
        <w:t>podpisały</w:t>
      </w:r>
      <w:proofErr w:type="gramEnd"/>
      <w:r w:rsidRPr="00014EA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z wykonawcą dwie umowy na </w:t>
      </w:r>
      <w:r w:rsidRPr="00014EAE">
        <w:rPr>
          <w:rFonts w:ascii="Arial" w:eastAsiaTheme="minorHAnsi" w:hAnsi="Arial" w:cs="Arial"/>
          <w:sz w:val="22"/>
          <w:szCs w:val="22"/>
          <w:lang w:eastAsia="en-US"/>
        </w:rPr>
        <w:t xml:space="preserve">poprawę dostępu kolejowego do portów morskich w Szczecinie i Świnoujściu. </w:t>
      </w:r>
      <w:r w:rsidR="00D54949" w:rsidRPr="00014EAE">
        <w:rPr>
          <w:rFonts w:ascii="Arial" w:eastAsiaTheme="minorHAnsi" w:hAnsi="Arial" w:cs="Arial"/>
          <w:sz w:val="22"/>
          <w:szCs w:val="22"/>
          <w:lang w:eastAsia="en-US"/>
        </w:rPr>
        <w:t>Budowa obejmie stację Szczecin Port Centralny i Świnoujście - infrastrukturę kolejową w zarządzie PKP Polskich Linii Kolejowych S.A. oraz terminal kontenerowy Ostrów Grabowski (teren Portu Szczecin)</w:t>
      </w:r>
      <w:r w:rsidR="00283F2B" w:rsidRPr="00014EAE">
        <w:rPr>
          <w:rFonts w:ascii="Arial" w:eastAsiaTheme="minorHAnsi" w:hAnsi="Arial" w:cs="Arial"/>
          <w:sz w:val="22"/>
          <w:szCs w:val="22"/>
          <w:lang w:eastAsia="en-US"/>
        </w:rPr>
        <w:t xml:space="preserve">, a </w:t>
      </w:r>
      <w:proofErr w:type="gramStart"/>
      <w:r w:rsidR="00283F2B" w:rsidRPr="00014EAE">
        <w:rPr>
          <w:rFonts w:ascii="Arial" w:eastAsiaTheme="minorHAnsi" w:hAnsi="Arial" w:cs="Arial"/>
          <w:sz w:val="22"/>
          <w:szCs w:val="22"/>
          <w:lang w:eastAsia="en-US"/>
        </w:rPr>
        <w:t xml:space="preserve">także </w:t>
      </w:r>
      <w:r w:rsidR="00D54949" w:rsidRPr="00014EAE">
        <w:rPr>
          <w:rFonts w:ascii="Arial" w:eastAsiaTheme="minorHAnsi" w:hAnsi="Arial" w:cs="Arial"/>
          <w:sz w:val="22"/>
          <w:szCs w:val="22"/>
          <w:lang w:eastAsia="en-US"/>
        </w:rPr>
        <w:t xml:space="preserve"> tory</w:t>
      </w:r>
      <w:proofErr w:type="gramEnd"/>
      <w:r w:rsidR="00D54949" w:rsidRPr="00014EAE">
        <w:rPr>
          <w:rFonts w:ascii="Arial" w:eastAsiaTheme="minorHAnsi" w:hAnsi="Arial" w:cs="Arial"/>
          <w:sz w:val="22"/>
          <w:szCs w:val="22"/>
          <w:lang w:eastAsia="en-US"/>
        </w:rPr>
        <w:t xml:space="preserve"> zdawczo-odbiorcze (teren Portu Świnoujście). </w:t>
      </w:r>
    </w:p>
    <w:p w:rsidR="00283F2B" w:rsidRPr="00014EAE" w:rsidRDefault="009C5CD1" w:rsidP="00014EAE">
      <w:pPr>
        <w:suppressAutoHyphens w:val="0"/>
        <w:autoSpaceDN/>
        <w:spacing w:line="360" w:lineRule="auto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014EAE">
        <w:rPr>
          <w:rFonts w:ascii="Arial" w:eastAsiaTheme="minorHAnsi" w:hAnsi="Arial" w:cs="Arial"/>
          <w:sz w:val="22"/>
          <w:szCs w:val="22"/>
          <w:lang w:eastAsia="en-US"/>
        </w:rPr>
        <w:t>Po przebudowie porty będą mogły obsługiwać dłuższe pociągi</w:t>
      </w:r>
      <w:r w:rsidR="00283F2B" w:rsidRPr="00014EAE">
        <w:rPr>
          <w:rFonts w:ascii="Arial" w:eastAsiaTheme="minorHAnsi" w:hAnsi="Arial" w:cs="Arial"/>
          <w:sz w:val="22"/>
          <w:szCs w:val="22"/>
          <w:lang w:eastAsia="en-US"/>
        </w:rPr>
        <w:t>. P</w:t>
      </w:r>
      <w:r w:rsidRPr="00014EAE">
        <w:rPr>
          <w:rFonts w:ascii="Arial" w:eastAsiaTheme="minorHAnsi" w:hAnsi="Arial" w:cs="Arial"/>
          <w:sz w:val="22"/>
          <w:szCs w:val="22"/>
          <w:lang w:eastAsia="en-US"/>
        </w:rPr>
        <w:t xml:space="preserve">rzewoźnicy towarowi zwiększą możliwości dzięki skróceniu </w:t>
      </w:r>
      <w:r w:rsidR="00283F2B" w:rsidRPr="00014EAE">
        <w:rPr>
          <w:rFonts w:ascii="Arial" w:eastAsiaTheme="minorHAnsi" w:hAnsi="Arial" w:cs="Arial"/>
          <w:sz w:val="22"/>
          <w:szCs w:val="22"/>
          <w:lang w:eastAsia="en-US"/>
        </w:rPr>
        <w:t xml:space="preserve">do kilkudziesięciu minut </w:t>
      </w:r>
      <w:r w:rsidRPr="00014EAE">
        <w:rPr>
          <w:rFonts w:ascii="Arial" w:eastAsiaTheme="minorHAnsi" w:hAnsi="Arial" w:cs="Arial"/>
          <w:sz w:val="22"/>
          <w:szCs w:val="22"/>
          <w:lang w:eastAsia="en-US"/>
        </w:rPr>
        <w:t xml:space="preserve">czasu </w:t>
      </w:r>
      <w:r w:rsidR="006345D0" w:rsidRPr="00014EAE">
        <w:rPr>
          <w:rFonts w:ascii="Arial" w:eastAsiaTheme="minorHAnsi" w:hAnsi="Arial" w:cs="Arial"/>
          <w:sz w:val="22"/>
          <w:szCs w:val="22"/>
          <w:lang w:eastAsia="en-US"/>
        </w:rPr>
        <w:t>za</w:t>
      </w:r>
      <w:r w:rsidRPr="00014EAE">
        <w:rPr>
          <w:rFonts w:ascii="Arial" w:eastAsiaTheme="minorHAnsi" w:hAnsi="Arial" w:cs="Arial"/>
          <w:sz w:val="22"/>
          <w:szCs w:val="22"/>
          <w:lang w:eastAsia="en-US"/>
        </w:rPr>
        <w:t xml:space="preserve">ładunku i rozładunku towarów. </w:t>
      </w:r>
      <w:r w:rsidR="00283F2B" w:rsidRPr="00014EAE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Pr="00014EAE">
        <w:rPr>
          <w:rFonts w:ascii="Arial" w:eastAsiaTheme="minorHAnsi" w:hAnsi="Arial" w:cs="Arial"/>
          <w:sz w:val="22"/>
          <w:szCs w:val="22"/>
          <w:lang w:eastAsia="en-US"/>
        </w:rPr>
        <w:t>orty przyjm</w:t>
      </w:r>
      <w:r w:rsidR="00283F2B" w:rsidRPr="00014EAE">
        <w:rPr>
          <w:rFonts w:ascii="Arial" w:eastAsiaTheme="minorHAnsi" w:hAnsi="Arial" w:cs="Arial"/>
          <w:sz w:val="22"/>
          <w:szCs w:val="22"/>
          <w:lang w:eastAsia="en-US"/>
        </w:rPr>
        <w:t>ą</w:t>
      </w:r>
      <w:r w:rsidRPr="00014EAE">
        <w:rPr>
          <w:rFonts w:ascii="Arial" w:eastAsiaTheme="minorHAnsi" w:hAnsi="Arial" w:cs="Arial"/>
          <w:sz w:val="22"/>
          <w:szCs w:val="22"/>
          <w:lang w:eastAsia="en-US"/>
        </w:rPr>
        <w:t xml:space="preserve"> i odprawi</w:t>
      </w:r>
      <w:r w:rsidR="00283F2B" w:rsidRPr="00014EAE">
        <w:rPr>
          <w:rFonts w:ascii="Arial" w:eastAsiaTheme="minorHAnsi" w:hAnsi="Arial" w:cs="Arial"/>
          <w:sz w:val="22"/>
          <w:szCs w:val="22"/>
          <w:lang w:eastAsia="en-US"/>
        </w:rPr>
        <w:t xml:space="preserve">ą </w:t>
      </w:r>
      <w:r w:rsidRPr="00014EAE">
        <w:rPr>
          <w:rFonts w:ascii="Arial" w:eastAsiaTheme="minorHAnsi" w:hAnsi="Arial" w:cs="Arial"/>
          <w:sz w:val="22"/>
          <w:szCs w:val="22"/>
          <w:lang w:eastAsia="en-US"/>
        </w:rPr>
        <w:t xml:space="preserve">znacznie więcej ładunków, co wpłynie na wzrost konkurencyjności przewozów towarowych i potencjału portów oraz rozwój gospodarczy. </w:t>
      </w:r>
    </w:p>
    <w:p w:rsidR="009C5CD1" w:rsidRPr="00014EAE" w:rsidRDefault="009C5CD1" w:rsidP="00014EAE">
      <w:pPr>
        <w:suppressAutoHyphens w:val="0"/>
        <w:autoSpaceDN/>
        <w:spacing w:line="360" w:lineRule="auto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014EAE">
        <w:rPr>
          <w:rFonts w:ascii="Arial" w:eastAsiaTheme="minorHAnsi" w:hAnsi="Arial" w:cs="Arial"/>
          <w:sz w:val="22"/>
          <w:szCs w:val="22"/>
          <w:lang w:eastAsia="en-US"/>
        </w:rPr>
        <w:t xml:space="preserve">W Szczecinie i Świnoujściu planowane prace obejmują przebudowę ok. </w:t>
      </w:r>
      <w:r w:rsidRPr="00014EAE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100</w:t>
      </w:r>
      <w:r w:rsidRPr="00014EAE">
        <w:rPr>
          <w:rFonts w:ascii="Arial" w:eastAsiaTheme="minorHAnsi" w:hAnsi="Arial" w:cs="Arial"/>
          <w:sz w:val="22"/>
          <w:szCs w:val="22"/>
          <w:lang w:eastAsia="en-US"/>
        </w:rPr>
        <w:t xml:space="preserve"> km torów, 3 wiadukty i most. Planowana jest także elektryfikacja </w:t>
      </w:r>
      <w:r w:rsidR="007F30E4">
        <w:rPr>
          <w:rFonts w:ascii="Arial" w:eastAsiaTheme="minorHAnsi" w:hAnsi="Arial" w:cs="Arial"/>
          <w:sz w:val="22"/>
          <w:szCs w:val="22"/>
          <w:lang w:eastAsia="en-US"/>
        </w:rPr>
        <w:t>niektórych torów</w:t>
      </w:r>
      <w:r w:rsidRPr="00014EAE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:rsidR="009C5CD1" w:rsidRPr="00014EAE" w:rsidRDefault="009C5CD1" w:rsidP="00014EAE">
      <w:pPr>
        <w:suppressAutoHyphens w:val="0"/>
        <w:autoSpaceDN/>
        <w:spacing w:line="360" w:lineRule="auto"/>
        <w:contextualSpacing/>
        <w:textAlignment w:val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014EA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Port Morski w Szczecinie </w:t>
      </w:r>
    </w:p>
    <w:p w:rsidR="00590AC0" w:rsidRPr="00014EAE" w:rsidRDefault="009C5CD1" w:rsidP="00014EAE">
      <w:pPr>
        <w:suppressAutoHyphens w:val="0"/>
        <w:autoSpaceDN/>
        <w:spacing w:line="360" w:lineRule="auto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014EAE">
        <w:rPr>
          <w:rFonts w:ascii="Arial" w:eastAsiaTheme="minorHAnsi" w:hAnsi="Arial" w:cs="Arial"/>
          <w:sz w:val="22"/>
          <w:szCs w:val="22"/>
          <w:lang w:eastAsia="en-US"/>
        </w:rPr>
        <w:t>W ramach projektu</w:t>
      </w:r>
      <w:r w:rsidR="00283F2B" w:rsidRPr="00014EAE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014EAE">
        <w:rPr>
          <w:rFonts w:ascii="Arial" w:eastAsiaTheme="minorHAnsi" w:hAnsi="Arial" w:cs="Arial"/>
          <w:sz w:val="22"/>
          <w:szCs w:val="22"/>
          <w:lang w:eastAsia="en-US"/>
        </w:rPr>
        <w:t xml:space="preserve"> na stacji Szczecin Port wybudowanych zostanie </w:t>
      </w:r>
      <w:r w:rsidR="00495057" w:rsidRPr="00014EAE">
        <w:rPr>
          <w:rFonts w:ascii="Arial" w:eastAsiaTheme="minorHAnsi" w:hAnsi="Arial" w:cs="Arial"/>
          <w:sz w:val="22"/>
          <w:szCs w:val="22"/>
          <w:lang w:eastAsia="en-US"/>
        </w:rPr>
        <w:t>61</w:t>
      </w:r>
      <w:r w:rsidR="007B5D4E" w:rsidRPr="00014EA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014EAE">
        <w:rPr>
          <w:rFonts w:ascii="Arial" w:eastAsiaTheme="minorHAnsi" w:hAnsi="Arial" w:cs="Arial"/>
          <w:sz w:val="22"/>
          <w:szCs w:val="22"/>
          <w:lang w:eastAsia="en-US"/>
        </w:rPr>
        <w:t>k</w:t>
      </w:r>
      <w:r w:rsidR="00283F2B" w:rsidRPr="00014EAE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Pr="00014EAE">
        <w:rPr>
          <w:rFonts w:ascii="Arial" w:eastAsiaTheme="minorHAnsi" w:hAnsi="Arial" w:cs="Arial"/>
          <w:sz w:val="22"/>
          <w:szCs w:val="22"/>
          <w:lang w:eastAsia="en-US"/>
        </w:rPr>
        <w:t xml:space="preserve"> torów</w:t>
      </w:r>
      <w:r w:rsidR="00283F2B" w:rsidRPr="00014EAE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014EA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95057" w:rsidRPr="00014EAE">
        <w:rPr>
          <w:rFonts w:ascii="Arial" w:eastAsiaTheme="minorHAnsi" w:hAnsi="Arial" w:cs="Arial"/>
          <w:sz w:val="22"/>
          <w:szCs w:val="22"/>
          <w:lang w:eastAsia="en-US"/>
        </w:rPr>
        <w:t xml:space="preserve">z czego </w:t>
      </w:r>
      <w:r w:rsidRPr="00014EAE">
        <w:rPr>
          <w:rFonts w:ascii="Arial" w:eastAsiaTheme="minorHAnsi" w:hAnsi="Arial" w:cs="Arial"/>
          <w:sz w:val="22"/>
          <w:szCs w:val="22"/>
          <w:lang w:eastAsia="en-US"/>
        </w:rPr>
        <w:t>blisko 5 km na terenie Portu Szczecin. Zmodernizowanych zostanie 12 przejazdów kolejowo-drogowych</w:t>
      </w:r>
      <w:r w:rsidR="00283F2B" w:rsidRPr="00014EAE">
        <w:rPr>
          <w:rFonts w:ascii="Arial" w:eastAsiaTheme="minorHAnsi" w:hAnsi="Arial" w:cs="Arial"/>
          <w:sz w:val="22"/>
          <w:szCs w:val="22"/>
          <w:lang w:eastAsia="en-US"/>
        </w:rPr>
        <w:t xml:space="preserve">. Nowe </w:t>
      </w:r>
      <w:r w:rsidRPr="00014EAE">
        <w:rPr>
          <w:rFonts w:ascii="Arial" w:eastAsiaTheme="minorHAnsi" w:hAnsi="Arial" w:cs="Arial"/>
          <w:sz w:val="22"/>
          <w:szCs w:val="22"/>
          <w:lang w:eastAsia="en-US"/>
        </w:rPr>
        <w:t>177 rozjazdów</w:t>
      </w:r>
      <w:r w:rsidR="00283F2B" w:rsidRPr="00014EAE">
        <w:rPr>
          <w:rFonts w:ascii="Arial" w:eastAsiaTheme="minorHAnsi" w:hAnsi="Arial" w:cs="Arial"/>
          <w:sz w:val="22"/>
          <w:szCs w:val="22"/>
          <w:lang w:eastAsia="en-US"/>
        </w:rPr>
        <w:t xml:space="preserve"> będzie miało urządzenia elektrycznego ogrzewania, </w:t>
      </w:r>
      <w:r w:rsidR="007F30E4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283F2B" w:rsidRPr="00014EAE">
        <w:rPr>
          <w:rFonts w:ascii="Arial" w:eastAsiaTheme="minorHAnsi" w:hAnsi="Arial" w:cs="Arial"/>
          <w:sz w:val="22"/>
          <w:szCs w:val="22"/>
          <w:lang w:eastAsia="en-US"/>
        </w:rPr>
        <w:t>co umożliwi bezawaryjne działanie podczas niskich temperatur. P</w:t>
      </w:r>
      <w:r w:rsidRPr="00014EAE">
        <w:rPr>
          <w:rFonts w:ascii="Arial" w:eastAsiaTheme="minorHAnsi" w:hAnsi="Arial" w:cs="Arial"/>
          <w:sz w:val="22"/>
          <w:szCs w:val="22"/>
          <w:lang w:eastAsia="en-US"/>
        </w:rPr>
        <w:t xml:space="preserve">race zwiększą możliwości przeładunkowe stacji Szczecin Port, zapewnią dojazd pociągów bezpośrednio do wybranych rejonów portu. Efektem prowadzonych przez PKP Polskie Linie Kolejowe S.A. </w:t>
      </w:r>
      <w:proofErr w:type="gramStart"/>
      <w:r w:rsidRPr="00014EAE">
        <w:rPr>
          <w:rFonts w:ascii="Arial" w:eastAsiaTheme="minorHAnsi" w:hAnsi="Arial" w:cs="Arial"/>
          <w:sz w:val="22"/>
          <w:szCs w:val="22"/>
          <w:lang w:eastAsia="en-US"/>
        </w:rPr>
        <w:t>prac</w:t>
      </w:r>
      <w:proofErr w:type="gramEnd"/>
      <w:r w:rsidRPr="00014EAE">
        <w:rPr>
          <w:rFonts w:ascii="Arial" w:eastAsiaTheme="minorHAnsi" w:hAnsi="Arial" w:cs="Arial"/>
          <w:sz w:val="22"/>
          <w:szCs w:val="22"/>
          <w:lang w:eastAsia="en-US"/>
        </w:rPr>
        <w:t xml:space="preserve"> będzie możliwość </w:t>
      </w:r>
      <w:r w:rsidR="00987F4D" w:rsidRPr="00014EAE">
        <w:rPr>
          <w:rFonts w:ascii="Arial" w:eastAsiaTheme="minorHAnsi" w:hAnsi="Arial" w:cs="Arial"/>
          <w:sz w:val="22"/>
          <w:szCs w:val="22"/>
          <w:lang w:eastAsia="en-US"/>
        </w:rPr>
        <w:t>d</w:t>
      </w:r>
      <w:r w:rsidR="00495057" w:rsidRPr="00014EAE">
        <w:rPr>
          <w:rFonts w:ascii="Arial" w:eastAsiaTheme="minorHAnsi" w:hAnsi="Arial" w:cs="Arial"/>
          <w:sz w:val="22"/>
          <w:szCs w:val="22"/>
          <w:lang w:eastAsia="en-US"/>
        </w:rPr>
        <w:t>ojazdu do</w:t>
      </w:r>
      <w:r w:rsidRPr="00014EAE">
        <w:rPr>
          <w:rFonts w:ascii="Arial" w:eastAsiaTheme="minorHAnsi" w:hAnsi="Arial" w:cs="Arial"/>
          <w:sz w:val="22"/>
          <w:szCs w:val="22"/>
          <w:lang w:eastAsia="en-US"/>
        </w:rPr>
        <w:t xml:space="preserve"> Port</w:t>
      </w:r>
      <w:r w:rsidR="00495057" w:rsidRPr="00014EAE"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Pr="00014EAE">
        <w:rPr>
          <w:rFonts w:ascii="Arial" w:eastAsiaTheme="minorHAnsi" w:hAnsi="Arial" w:cs="Arial"/>
          <w:sz w:val="22"/>
          <w:szCs w:val="22"/>
          <w:lang w:eastAsia="en-US"/>
        </w:rPr>
        <w:t xml:space="preserve"> Szczecin znacznie dłuższych i cięższych składów. Pociągi towarowe zostaną obsłużone szybciej i sprawniej. </w:t>
      </w:r>
    </w:p>
    <w:p w:rsidR="007B5D4E" w:rsidRPr="00014EAE" w:rsidRDefault="007B5D4E" w:rsidP="00014EAE">
      <w:pPr>
        <w:suppressAutoHyphens w:val="0"/>
        <w:autoSpaceDN/>
        <w:spacing w:line="360" w:lineRule="auto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014E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„Opracowanie projektów wykonawczych i wykonanie robót budowlanych na Stacji Szczecin Port Centralny – Zadanie 1 w ramach projektu pn.: Poprawa dostępu kolejowego do portów </w:t>
      </w:r>
      <w:r w:rsidRPr="00014E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lastRenderedPageBreak/>
        <w:t>morskich w Szczecinie i Świnoujściu”</w:t>
      </w:r>
      <w:r w:rsidR="00283F2B" w:rsidRPr="00014E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  <w:r w:rsidRPr="00014EAE">
        <w:rPr>
          <w:rFonts w:ascii="Arial" w:eastAsiaTheme="minorHAnsi" w:hAnsi="Arial" w:cs="Arial"/>
          <w:sz w:val="22"/>
          <w:szCs w:val="22"/>
          <w:lang w:eastAsia="en-US"/>
        </w:rPr>
        <w:t xml:space="preserve">Wykonawca: </w:t>
      </w:r>
      <w:proofErr w:type="spellStart"/>
      <w:r w:rsidRPr="00014E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Torpol</w:t>
      </w:r>
      <w:proofErr w:type="spellEnd"/>
      <w:r w:rsidRPr="00014E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S.A. </w:t>
      </w:r>
      <w:r w:rsidRPr="00014EAE">
        <w:rPr>
          <w:rFonts w:ascii="Arial" w:eastAsiaTheme="minorHAnsi" w:hAnsi="Arial" w:cs="Arial"/>
          <w:sz w:val="22"/>
          <w:szCs w:val="22"/>
          <w:lang w:eastAsia="en-US"/>
        </w:rPr>
        <w:t>Wartość umowy: 936 589 360,94 netto</w:t>
      </w:r>
      <w:r w:rsidR="007F30E4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7B5D4E" w:rsidRPr="00014EAE" w:rsidRDefault="009C5CD1" w:rsidP="00014EAE">
      <w:pPr>
        <w:suppressAutoHyphens w:val="0"/>
        <w:autoSpaceDN/>
        <w:spacing w:line="360" w:lineRule="auto"/>
        <w:contextualSpacing/>
        <w:textAlignment w:val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014EA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Port Morski w Świnoujściu </w:t>
      </w:r>
    </w:p>
    <w:p w:rsidR="009C5CD1" w:rsidRPr="00014EAE" w:rsidRDefault="009C5CD1" w:rsidP="00014EAE">
      <w:pPr>
        <w:suppressAutoHyphens w:val="0"/>
        <w:autoSpaceDN/>
        <w:spacing w:line="360" w:lineRule="auto"/>
        <w:contextualSpacing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14EA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Na stacji Świnoujście zostanie wybudowanych </w:t>
      </w:r>
      <w:r w:rsidR="00495057" w:rsidRPr="00014EA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34 </w:t>
      </w:r>
      <w:r w:rsidRPr="00014EAE">
        <w:rPr>
          <w:rFonts w:ascii="Arial" w:eastAsiaTheme="minorHAnsi" w:hAnsi="Arial" w:cs="Arial"/>
          <w:bCs/>
          <w:sz w:val="22"/>
          <w:szCs w:val="22"/>
          <w:lang w:eastAsia="en-US"/>
        </w:rPr>
        <w:t>km torów</w:t>
      </w:r>
      <w:r w:rsidR="00987F4D" w:rsidRPr="00014EAE">
        <w:rPr>
          <w:rFonts w:ascii="Arial" w:eastAsiaTheme="minorHAnsi" w:hAnsi="Arial" w:cs="Arial"/>
          <w:bCs/>
          <w:sz w:val="22"/>
          <w:szCs w:val="22"/>
          <w:lang w:eastAsia="en-US"/>
        </w:rPr>
        <w:t>,</w:t>
      </w:r>
      <w:r w:rsidRPr="00014EA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495057" w:rsidRPr="00014EA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z czego </w:t>
      </w:r>
      <w:r w:rsidRPr="00014EAE">
        <w:rPr>
          <w:rFonts w:ascii="Arial" w:eastAsiaTheme="minorHAnsi" w:hAnsi="Arial" w:cs="Arial"/>
          <w:bCs/>
          <w:sz w:val="22"/>
          <w:szCs w:val="22"/>
          <w:lang w:eastAsia="en-US"/>
        </w:rPr>
        <w:t>2 km na terenie Portu Morskiego w Świnoujściu</w:t>
      </w:r>
      <w:r w:rsidR="00283F2B" w:rsidRPr="00014EAE">
        <w:rPr>
          <w:rFonts w:ascii="Arial" w:eastAsiaTheme="minorHAnsi" w:hAnsi="Arial" w:cs="Arial"/>
          <w:bCs/>
          <w:sz w:val="22"/>
          <w:szCs w:val="22"/>
          <w:lang w:eastAsia="en-US"/>
        </w:rPr>
        <w:t>. Z</w:t>
      </w:r>
      <w:r w:rsidRPr="00014EA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modernizowanych zostanie 10 przejazdów oraz </w:t>
      </w:r>
      <w:r w:rsidR="004476DD" w:rsidRPr="00014EAE">
        <w:rPr>
          <w:rFonts w:ascii="Arial" w:eastAsiaTheme="minorHAnsi" w:hAnsi="Arial" w:cs="Arial"/>
          <w:bCs/>
          <w:sz w:val="22"/>
          <w:szCs w:val="22"/>
          <w:lang w:eastAsia="en-US"/>
        </w:rPr>
        <w:t>wymienion</w:t>
      </w:r>
      <w:r w:rsidR="00987F4D" w:rsidRPr="00014EA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e </w:t>
      </w:r>
      <w:r w:rsidRPr="00014EAE">
        <w:rPr>
          <w:rFonts w:ascii="Arial" w:eastAsiaTheme="minorHAnsi" w:hAnsi="Arial" w:cs="Arial"/>
          <w:bCs/>
          <w:sz w:val="22"/>
          <w:szCs w:val="22"/>
          <w:lang w:eastAsia="en-US"/>
        </w:rPr>
        <w:t>108</w:t>
      </w:r>
      <w:r w:rsidR="004476DD" w:rsidRPr="00014EA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014EA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rozjazdów. </w:t>
      </w:r>
      <w:r w:rsidR="00987F4D" w:rsidRPr="00014EAE">
        <w:rPr>
          <w:rFonts w:ascii="Arial" w:eastAsiaTheme="minorHAnsi" w:hAnsi="Arial" w:cs="Arial"/>
          <w:bCs/>
          <w:sz w:val="22"/>
          <w:szCs w:val="22"/>
          <w:lang w:eastAsia="en-US"/>
        </w:rPr>
        <w:t>Z</w:t>
      </w:r>
      <w:r w:rsidRPr="00014EA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amontowane zostaną nowoczesne urządzenia sterowania ruchem kolejowym, które </w:t>
      </w:r>
      <w:r w:rsidR="007F30E4">
        <w:rPr>
          <w:rFonts w:ascii="Arial" w:eastAsiaTheme="minorHAnsi" w:hAnsi="Arial" w:cs="Arial"/>
          <w:bCs/>
          <w:sz w:val="22"/>
          <w:szCs w:val="22"/>
          <w:lang w:eastAsia="en-US"/>
        </w:rPr>
        <w:t>zwiększą</w:t>
      </w:r>
      <w:r w:rsidR="00987F4D" w:rsidRPr="00014EA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014EAE">
        <w:rPr>
          <w:rFonts w:ascii="Arial" w:eastAsiaTheme="minorHAnsi" w:hAnsi="Arial" w:cs="Arial"/>
          <w:bCs/>
          <w:sz w:val="22"/>
          <w:szCs w:val="22"/>
          <w:lang w:eastAsia="en-US"/>
        </w:rPr>
        <w:t>poziom bezpieczeństwa przewo</w:t>
      </w:r>
      <w:r w:rsidR="00987F4D" w:rsidRPr="00014EAE">
        <w:rPr>
          <w:rFonts w:ascii="Arial" w:eastAsiaTheme="minorHAnsi" w:hAnsi="Arial" w:cs="Arial"/>
          <w:bCs/>
          <w:sz w:val="22"/>
          <w:szCs w:val="22"/>
          <w:lang w:eastAsia="en-US"/>
        </w:rPr>
        <w:t>zów</w:t>
      </w:r>
      <w:r w:rsidRPr="00014EA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987F4D" w:rsidRPr="00014EA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Inwestycja </w:t>
      </w:r>
      <w:r w:rsidRPr="00014EAE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umożliwi kursowanie dłuższych i cięższych pociągów</w:t>
      </w:r>
      <w:r w:rsidRPr="00014EA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, co wpłynie na rozwój Portu Morskiego w </w:t>
      </w:r>
      <w:r w:rsidR="00D54949" w:rsidRPr="00014EAE">
        <w:rPr>
          <w:rFonts w:ascii="Arial" w:eastAsiaTheme="minorHAnsi" w:hAnsi="Arial" w:cs="Arial"/>
          <w:bCs/>
          <w:sz w:val="22"/>
          <w:szCs w:val="22"/>
          <w:lang w:eastAsia="en-US"/>
        </w:rPr>
        <w:t>Świnoujściu</w:t>
      </w:r>
      <w:r w:rsidRPr="00014EA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</w:p>
    <w:p w:rsidR="007B5D4E" w:rsidRPr="00014EAE" w:rsidRDefault="007B5D4E" w:rsidP="00014EAE">
      <w:pPr>
        <w:suppressAutoHyphens w:val="0"/>
        <w:autoSpaceDN/>
        <w:spacing w:line="360" w:lineRule="auto"/>
        <w:contextualSpacing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014E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„Opracowanie projektów wykonawczych i wykonanie robót budowlanych na Stacji Świnoujście – Zadanie 2 w ramach projektu pn.: Poprawa dostępu kolejowego do portów morskich </w:t>
      </w:r>
      <w:r w:rsidR="007F30E4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014E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 Szczecinie i Świnoujściu.”</w:t>
      </w:r>
      <w:r w:rsidR="007F30E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014EAE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="007E65FD">
        <w:rPr>
          <w:rFonts w:ascii="Arial" w:eastAsiaTheme="minorHAnsi" w:hAnsi="Arial" w:cs="Arial"/>
          <w:sz w:val="22"/>
          <w:szCs w:val="22"/>
          <w:lang w:eastAsia="en-US"/>
        </w:rPr>
        <w:t>ykonawca</w:t>
      </w:r>
      <w:r w:rsidRPr="00014EAE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  <w:proofErr w:type="spellStart"/>
      <w:r w:rsidRPr="00014E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Torpol</w:t>
      </w:r>
      <w:proofErr w:type="spellEnd"/>
      <w:r w:rsidRPr="00014E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S.A</w:t>
      </w:r>
      <w:r w:rsidR="007F30E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  <w:r w:rsidRPr="00014E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014EAE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="007E65FD">
        <w:rPr>
          <w:rFonts w:ascii="Arial" w:eastAsiaTheme="minorHAnsi" w:hAnsi="Arial" w:cs="Arial"/>
          <w:sz w:val="22"/>
          <w:szCs w:val="22"/>
          <w:lang w:eastAsia="en-US"/>
        </w:rPr>
        <w:t>artość</w:t>
      </w:r>
      <w:r w:rsidRPr="00014EAE">
        <w:rPr>
          <w:rFonts w:ascii="Arial" w:eastAsiaTheme="minorHAnsi" w:hAnsi="Arial" w:cs="Arial"/>
          <w:sz w:val="22"/>
          <w:szCs w:val="22"/>
          <w:lang w:eastAsia="en-US"/>
        </w:rPr>
        <w:t>: 508 049 119,47 netto</w:t>
      </w:r>
      <w:r w:rsidR="007F30E4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014EAE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</w:p>
    <w:p w:rsidR="009C5CD1" w:rsidRPr="00014EAE" w:rsidRDefault="009C5CD1" w:rsidP="00014EAE">
      <w:pPr>
        <w:suppressAutoHyphens w:val="0"/>
        <w:autoSpaceDN/>
        <w:spacing w:line="360" w:lineRule="auto"/>
        <w:contextualSpacing/>
        <w:jc w:val="both"/>
        <w:textAlignment w:val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014EA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Krajowy Program Kolejowy także dla sprawnego przewozu towarów </w:t>
      </w:r>
    </w:p>
    <w:p w:rsidR="00987F4D" w:rsidRPr="00014EAE" w:rsidRDefault="00D54949" w:rsidP="00014EAE">
      <w:pPr>
        <w:suppressAutoHyphens w:val="0"/>
        <w:autoSpaceDN/>
        <w:spacing w:line="360" w:lineRule="auto"/>
        <w:contextualSpacing/>
        <w:jc w:val="both"/>
        <w:textAlignment w:val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014EA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PKP Polskie Linie Kolejowe S.A. </w:t>
      </w:r>
      <w:proofErr w:type="gramStart"/>
      <w:r w:rsidRPr="00014EAE">
        <w:rPr>
          <w:rFonts w:ascii="Arial" w:eastAsiaTheme="minorHAnsi" w:hAnsi="Arial" w:cs="Arial"/>
          <w:b/>
          <w:sz w:val="22"/>
          <w:szCs w:val="22"/>
          <w:lang w:eastAsia="en-US"/>
        </w:rPr>
        <w:t>realizują</w:t>
      </w:r>
      <w:proofErr w:type="gramEnd"/>
      <w:r w:rsidRPr="00014EA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987F4D" w:rsidRPr="00014EA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(do 2023 r.) </w:t>
      </w:r>
      <w:r w:rsidRPr="00014EAE">
        <w:rPr>
          <w:rFonts w:ascii="Arial" w:eastAsiaTheme="minorHAnsi" w:hAnsi="Arial" w:cs="Arial"/>
          <w:b/>
          <w:sz w:val="22"/>
          <w:szCs w:val="22"/>
          <w:lang w:eastAsia="en-US"/>
        </w:rPr>
        <w:t>największy w historii program inwestycyjny - Krajowy Program Kolejowy</w:t>
      </w:r>
      <w:r w:rsidR="00987F4D" w:rsidRPr="00014EA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(KPK)</w:t>
      </w:r>
      <w:r w:rsidRPr="00014EAE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  <w:r w:rsidR="00987F4D" w:rsidRPr="00014EA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PLK </w:t>
      </w:r>
      <w:r w:rsidR="00477682">
        <w:rPr>
          <w:rFonts w:ascii="Arial" w:eastAsiaTheme="minorHAnsi" w:hAnsi="Arial" w:cs="Arial"/>
          <w:b/>
          <w:sz w:val="22"/>
          <w:szCs w:val="22"/>
          <w:lang w:eastAsia="en-US"/>
        </w:rPr>
        <w:t>za</w:t>
      </w:r>
      <w:r w:rsidR="00987F4D" w:rsidRPr="00014EAE">
        <w:rPr>
          <w:rFonts w:ascii="Arial" w:eastAsiaTheme="minorHAnsi" w:hAnsi="Arial" w:cs="Arial"/>
          <w:b/>
          <w:sz w:val="22"/>
          <w:szCs w:val="22"/>
          <w:lang w:eastAsia="en-US"/>
        </w:rPr>
        <w:t>kończyły już umowy za 10 mld zł, a w realizacji są projekty za 40 mld zł. Tylko w tym roku zarządca infrastruktury pod</w:t>
      </w:r>
      <w:r w:rsidR="00A27F7D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pisał umowy o wartości </w:t>
      </w:r>
      <w:r w:rsidR="00AF71F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ok. </w:t>
      </w:r>
      <w:r w:rsidR="00A27F7D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8,3 mld zł. </w:t>
      </w:r>
      <w:r w:rsidR="00987F4D" w:rsidRPr="00014EA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Realizacja największego w historii programu inwestycyjnego na polskiej kolei, Krajowego Programu Kolejowego przekroczyła 71 %.  </w:t>
      </w:r>
    </w:p>
    <w:p w:rsidR="007B1B8C" w:rsidRDefault="00987F4D" w:rsidP="00014EAE">
      <w:pPr>
        <w:suppressAutoHyphens w:val="0"/>
        <w:autoSpaceDN/>
        <w:spacing w:line="360" w:lineRule="auto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014EAE">
        <w:rPr>
          <w:rFonts w:ascii="Arial" w:eastAsiaTheme="minorHAnsi" w:hAnsi="Arial" w:cs="Arial"/>
          <w:sz w:val="22"/>
          <w:szCs w:val="22"/>
          <w:lang w:eastAsia="en-US"/>
        </w:rPr>
        <w:t>KPK t</w:t>
      </w:r>
      <w:r w:rsidR="00D54949" w:rsidRPr="00014EAE">
        <w:rPr>
          <w:rFonts w:ascii="Arial" w:eastAsiaTheme="minorHAnsi" w:hAnsi="Arial" w:cs="Arial"/>
          <w:sz w:val="22"/>
          <w:szCs w:val="22"/>
          <w:lang w:eastAsia="en-US"/>
        </w:rPr>
        <w:t xml:space="preserve">o ponad 220 projektów za ponad 70 mld zł. Ogromne przedsięwzięcie, które wyrównuje dostępność komunikacyjną w Polsce, zwiększa możliwości sprawnych podróży w miastach </w:t>
      </w:r>
      <w:r w:rsidR="007A78B8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D54949" w:rsidRPr="00014EAE">
        <w:rPr>
          <w:rFonts w:ascii="Arial" w:eastAsiaTheme="minorHAnsi" w:hAnsi="Arial" w:cs="Arial"/>
          <w:sz w:val="22"/>
          <w:szCs w:val="22"/>
          <w:lang w:eastAsia="en-US"/>
        </w:rPr>
        <w:t xml:space="preserve">i aglomeracjach, a także </w:t>
      </w:r>
      <w:r w:rsidR="009C5CD1" w:rsidRPr="00014EAE">
        <w:rPr>
          <w:rFonts w:ascii="Arial" w:eastAsiaTheme="minorHAnsi" w:hAnsi="Arial" w:cs="Arial"/>
          <w:sz w:val="22"/>
          <w:szCs w:val="22"/>
          <w:lang w:eastAsia="en-US"/>
        </w:rPr>
        <w:t>powstają lepsze warunki do przewozu towarów</w:t>
      </w:r>
      <w:r w:rsidR="00D54949" w:rsidRPr="00014EAE">
        <w:rPr>
          <w:rFonts w:ascii="Arial" w:eastAsiaTheme="minorHAnsi" w:hAnsi="Arial" w:cs="Arial"/>
          <w:sz w:val="22"/>
          <w:szCs w:val="22"/>
          <w:lang w:eastAsia="en-US"/>
        </w:rPr>
        <w:t>. Kolej staje się konkurencyjnym środkiem dla transportu drogowego w przewozie towarów.</w:t>
      </w:r>
      <w:r w:rsidR="00D54949" w:rsidRPr="00014EAE">
        <w:rPr>
          <w:sz w:val="22"/>
          <w:szCs w:val="22"/>
        </w:rPr>
        <w:t xml:space="preserve"> </w:t>
      </w:r>
      <w:r w:rsidR="00D54949" w:rsidRPr="00014EAE">
        <w:rPr>
          <w:rFonts w:ascii="Arial" w:eastAsiaTheme="minorHAnsi" w:hAnsi="Arial" w:cs="Arial"/>
          <w:sz w:val="22"/>
          <w:szCs w:val="22"/>
          <w:lang w:eastAsia="en-US"/>
        </w:rPr>
        <w:t>Finansowanie KPK zapewniają znaczące środki z programów UE i budżetu państwa</w:t>
      </w:r>
      <w:r w:rsidR="004F2F7F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0905DE" w:rsidRPr="00014EA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:rsidR="007E65FD" w:rsidRDefault="007E65FD" w:rsidP="00014EAE">
      <w:pPr>
        <w:suppressAutoHyphens w:val="0"/>
        <w:autoSpaceDN/>
        <w:spacing w:line="360" w:lineRule="auto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D36BDF">
        <w:rPr>
          <w:rFonts w:ascii="Arial" w:eastAsia="Calibri" w:hAnsi="Arial" w:cs="Arial"/>
          <w:noProof/>
          <w:sz w:val="22"/>
          <w:szCs w:val="22"/>
        </w:rPr>
        <w:drawing>
          <wp:inline distT="0" distB="0" distL="0" distR="0">
            <wp:extent cx="5760720" cy="1211323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78B8" w:rsidRPr="00014EAE" w:rsidRDefault="007A78B8" w:rsidP="00014EAE">
      <w:pPr>
        <w:suppressAutoHyphens w:val="0"/>
        <w:autoSpaceDN/>
        <w:spacing w:line="360" w:lineRule="auto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4007D5" w:rsidRPr="009C5CD1" w:rsidRDefault="004007D5" w:rsidP="007A78B8">
      <w:pPr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C5CD1">
        <w:rPr>
          <w:rFonts w:ascii="Arial" w:hAnsi="Arial" w:cs="Arial"/>
          <w:b/>
          <w:bCs/>
          <w:color w:val="000000" w:themeColor="text1"/>
          <w:sz w:val="20"/>
          <w:szCs w:val="20"/>
        </w:rPr>
        <w:t>Kontakt dla mediów:</w:t>
      </w:r>
    </w:p>
    <w:p w:rsidR="007A78B8" w:rsidRDefault="00D749AB" w:rsidP="007A78B8">
      <w:pPr>
        <w:jc w:val="right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9C5CD1">
        <w:rPr>
          <w:rFonts w:ascii="Arial" w:hAnsi="Arial" w:cs="Arial"/>
          <w:color w:val="000000" w:themeColor="text1"/>
          <w:sz w:val="20"/>
          <w:szCs w:val="20"/>
        </w:rPr>
        <w:t>Mirosław Siemieniec</w:t>
      </w:r>
      <w:r w:rsidR="004007D5" w:rsidRPr="009C5CD1">
        <w:rPr>
          <w:rFonts w:ascii="Arial" w:hAnsi="Arial" w:cs="Arial"/>
          <w:color w:val="000000" w:themeColor="text1"/>
          <w:sz w:val="20"/>
          <w:szCs w:val="20"/>
        </w:rPr>
        <w:br/>
      </w:r>
      <w:r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Rzecznik </w:t>
      </w:r>
      <w:r w:rsidR="004007D5"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prasowy</w:t>
      </w:r>
      <w:r w:rsidR="004007D5" w:rsidRPr="009C5CD1">
        <w:rPr>
          <w:rFonts w:ascii="Arial" w:hAnsi="Arial" w:cs="Arial"/>
          <w:color w:val="000000" w:themeColor="text1"/>
          <w:sz w:val="20"/>
          <w:szCs w:val="20"/>
        </w:rPr>
        <w:br/>
      </w:r>
      <w:r w:rsidR="004007D5"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PKP Polskie Linie Kolejowe S.A.</w:t>
      </w:r>
      <w:r w:rsidR="004007D5" w:rsidRPr="009C5CD1">
        <w:rPr>
          <w:rFonts w:ascii="Arial" w:hAnsi="Arial" w:cs="Arial"/>
          <w:color w:val="000000" w:themeColor="text1"/>
          <w:sz w:val="20"/>
          <w:szCs w:val="20"/>
        </w:rPr>
        <w:br/>
      </w:r>
      <w:hyperlink r:id="rId8" w:history="1">
        <w:r w:rsidR="004007D5" w:rsidRPr="009C5CD1">
          <w:rPr>
            <w:rStyle w:val="Hipercze"/>
            <w:rFonts w:ascii="Arial" w:hAnsi="Arial" w:cs="Arial"/>
            <w:color w:val="000000" w:themeColor="text1"/>
            <w:sz w:val="20"/>
            <w:szCs w:val="20"/>
            <w:shd w:val="clear" w:color="auto" w:fill="FFFFFF"/>
          </w:rPr>
          <w:t>rzecznik@plk-sa.pl</w:t>
        </w:r>
      </w:hyperlink>
      <w:r w:rsidR="004007D5" w:rsidRPr="009C5CD1">
        <w:rPr>
          <w:rFonts w:ascii="Arial" w:hAnsi="Arial" w:cs="Arial"/>
          <w:color w:val="000000" w:themeColor="text1"/>
          <w:sz w:val="20"/>
          <w:szCs w:val="20"/>
        </w:rPr>
        <w:br/>
      </w:r>
      <w:r w:rsidR="0094130D"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</w:t>
      </w:r>
      <w:r w:rsidR="008E2511"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el.</w:t>
      </w:r>
      <w:r w:rsidR="004007D5"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7B1B8C"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694 480</w:t>
      </w:r>
      <w:r w:rsidR="007A78B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="007B1B8C"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239</w:t>
      </w:r>
    </w:p>
    <w:p w:rsidR="007A78B8" w:rsidRDefault="007A78B8" w:rsidP="007A78B8">
      <w:pPr>
        <w:jc w:val="right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7A78B8" w:rsidRDefault="007A78B8" w:rsidP="007A78B8">
      <w:pPr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7A78B8" w:rsidRDefault="007A78B8" w:rsidP="007A78B8">
      <w:pPr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843C77" w:rsidRPr="007A78B8" w:rsidRDefault="004007D5" w:rsidP="007A78B8">
      <w:pPr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9C5CD1">
        <w:rPr>
          <w:rFonts w:ascii="Arial" w:hAnsi="Arial" w:cs="Arial"/>
          <w:b/>
          <w:color w:val="000000" w:themeColor="text1"/>
          <w:sz w:val="20"/>
          <w:szCs w:val="20"/>
        </w:rPr>
        <w:t>„Wyłączną odpowiedzialność za treść publikacji ponosi jej autor. Unia Europejska nie odpowiada za ewentualne wykorzystanie informacji zawartych w takiej publikacji”.</w:t>
      </w:r>
    </w:p>
    <w:sectPr w:rsidR="00843C77" w:rsidRPr="007A78B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09B" w:rsidRDefault="0064409B">
      <w:r>
        <w:separator/>
      </w:r>
    </w:p>
  </w:endnote>
  <w:endnote w:type="continuationSeparator" w:id="0">
    <w:p w:rsidR="0064409B" w:rsidRDefault="0064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324" w:rsidRPr="009B053A" w:rsidRDefault="009E5E67" w:rsidP="00F25324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F25324" w:rsidRPr="009B053A" w:rsidRDefault="009E5E67" w:rsidP="00F25324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F25324" w:rsidRDefault="009E5E67" w:rsidP="00F25324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.936.000 </w:t>
    </w:r>
    <w:proofErr w:type="gramStart"/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09B" w:rsidRDefault="0064409B">
      <w:r>
        <w:separator/>
      </w:r>
    </w:p>
  </w:footnote>
  <w:footnote w:type="continuationSeparator" w:id="0">
    <w:p w:rsidR="0064409B" w:rsidRDefault="00644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918" w:rsidRDefault="00F8343D">
    <w:pPr>
      <w:pStyle w:val="Nagwek"/>
    </w:pPr>
    <w:r>
      <w:rPr>
        <w:noProof/>
        <w:lang w:eastAsia="pl-PL"/>
      </w:rPr>
      <w:drawing>
        <wp:inline distT="0" distB="0" distL="0" distR="0" wp14:anchorId="48563CB9" wp14:editId="2F6460D8">
          <wp:extent cx="5760720" cy="44345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34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D5"/>
    <w:rsid w:val="0000346D"/>
    <w:rsid w:val="00012128"/>
    <w:rsid w:val="0001451B"/>
    <w:rsid w:val="00014EAE"/>
    <w:rsid w:val="000257E6"/>
    <w:rsid w:val="0002625D"/>
    <w:rsid w:val="000272D3"/>
    <w:rsid w:val="000326FE"/>
    <w:rsid w:val="0003648D"/>
    <w:rsid w:val="00041C84"/>
    <w:rsid w:val="0004578A"/>
    <w:rsid w:val="000504DE"/>
    <w:rsid w:val="00050F3E"/>
    <w:rsid w:val="000620C5"/>
    <w:rsid w:val="000842C8"/>
    <w:rsid w:val="000905DE"/>
    <w:rsid w:val="000927D4"/>
    <w:rsid w:val="000933B6"/>
    <w:rsid w:val="000A58B6"/>
    <w:rsid w:val="000B7507"/>
    <w:rsid w:val="000C529A"/>
    <w:rsid w:val="000C6C77"/>
    <w:rsid w:val="000D31E3"/>
    <w:rsid w:val="000D752A"/>
    <w:rsid w:val="000E7597"/>
    <w:rsid w:val="0010244C"/>
    <w:rsid w:val="0011321F"/>
    <w:rsid w:val="00116022"/>
    <w:rsid w:val="00125EE5"/>
    <w:rsid w:val="00132801"/>
    <w:rsid w:val="00146E9A"/>
    <w:rsid w:val="001470F7"/>
    <w:rsid w:val="0014744B"/>
    <w:rsid w:val="00147791"/>
    <w:rsid w:val="001546B2"/>
    <w:rsid w:val="00160207"/>
    <w:rsid w:val="0016407D"/>
    <w:rsid w:val="00171E73"/>
    <w:rsid w:val="0017413F"/>
    <w:rsid w:val="001804DD"/>
    <w:rsid w:val="00181EDE"/>
    <w:rsid w:val="00183D82"/>
    <w:rsid w:val="00194377"/>
    <w:rsid w:val="00197D4C"/>
    <w:rsid w:val="001B4AF7"/>
    <w:rsid w:val="001E0C34"/>
    <w:rsid w:val="001E2B0F"/>
    <w:rsid w:val="001E6D9F"/>
    <w:rsid w:val="001F4E91"/>
    <w:rsid w:val="001F73E8"/>
    <w:rsid w:val="00200D7F"/>
    <w:rsid w:val="00201EE5"/>
    <w:rsid w:val="00206C33"/>
    <w:rsid w:val="00220F1E"/>
    <w:rsid w:val="00226B9A"/>
    <w:rsid w:val="00227F1E"/>
    <w:rsid w:val="002407F8"/>
    <w:rsid w:val="00244A51"/>
    <w:rsid w:val="00247F77"/>
    <w:rsid w:val="002542DB"/>
    <w:rsid w:val="002565E0"/>
    <w:rsid w:val="0026223F"/>
    <w:rsid w:val="00262367"/>
    <w:rsid w:val="00273EC7"/>
    <w:rsid w:val="00275002"/>
    <w:rsid w:val="00283F2B"/>
    <w:rsid w:val="002879E8"/>
    <w:rsid w:val="00292A4B"/>
    <w:rsid w:val="0029754D"/>
    <w:rsid w:val="002B2D86"/>
    <w:rsid w:val="002B7A3D"/>
    <w:rsid w:val="002C0585"/>
    <w:rsid w:val="002C2175"/>
    <w:rsid w:val="002D2982"/>
    <w:rsid w:val="002D367C"/>
    <w:rsid w:val="002D5FF0"/>
    <w:rsid w:val="002E0337"/>
    <w:rsid w:val="002E6E91"/>
    <w:rsid w:val="002F06A6"/>
    <w:rsid w:val="002F1066"/>
    <w:rsid w:val="0030060C"/>
    <w:rsid w:val="00316C8B"/>
    <w:rsid w:val="00327DFF"/>
    <w:rsid w:val="00332D56"/>
    <w:rsid w:val="00347C29"/>
    <w:rsid w:val="00352976"/>
    <w:rsid w:val="003621F9"/>
    <w:rsid w:val="0036301E"/>
    <w:rsid w:val="00364213"/>
    <w:rsid w:val="003667D1"/>
    <w:rsid w:val="00371932"/>
    <w:rsid w:val="0037318E"/>
    <w:rsid w:val="00384BD5"/>
    <w:rsid w:val="00385FB3"/>
    <w:rsid w:val="003A4C1B"/>
    <w:rsid w:val="003A6B94"/>
    <w:rsid w:val="003B061C"/>
    <w:rsid w:val="003B4362"/>
    <w:rsid w:val="003B6EB9"/>
    <w:rsid w:val="003B75EE"/>
    <w:rsid w:val="003D2A59"/>
    <w:rsid w:val="003E0FEB"/>
    <w:rsid w:val="003F6868"/>
    <w:rsid w:val="004007D5"/>
    <w:rsid w:val="00405728"/>
    <w:rsid w:val="00414B78"/>
    <w:rsid w:val="00416205"/>
    <w:rsid w:val="004246E7"/>
    <w:rsid w:val="004476DD"/>
    <w:rsid w:val="00453789"/>
    <w:rsid w:val="004567D7"/>
    <w:rsid w:val="00457885"/>
    <w:rsid w:val="00464D49"/>
    <w:rsid w:val="00467D8E"/>
    <w:rsid w:val="00470B19"/>
    <w:rsid w:val="00472D1C"/>
    <w:rsid w:val="0047518D"/>
    <w:rsid w:val="00477682"/>
    <w:rsid w:val="0048257B"/>
    <w:rsid w:val="0048695F"/>
    <w:rsid w:val="0048756B"/>
    <w:rsid w:val="004905BF"/>
    <w:rsid w:val="00495057"/>
    <w:rsid w:val="004B1FB6"/>
    <w:rsid w:val="004B3E5C"/>
    <w:rsid w:val="004D22E0"/>
    <w:rsid w:val="004E03EA"/>
    <w:rsid w:val="004E3215"/>
    <w:rsid w:val="004F2F7F"/>
    <w:rsid w:val="004F5594"/>
    <w:rsid w:val="00515817"/>
    <w:rsid w:val="00523D05"/>
    <w:rsid w:val="0052785B"/>
    <w:rsid w:val="00532E9D"/>
    <w:rsid w:val="005373C8"/>
    <w:rsid w:val="005551D0"/>
    <w:rsid w:val="00582C60"/>
    <w:rsid w:val="00590AC0"/>
    <w:rsid w:val="005C6190"/>
    <w:rsid w:val="005D10B4"/>
    <w:rsid w:val="005D1C24"/>
    <w:rsid w:val="005D5387"/>
    <w:rsid w:val="005E757F"/>
    <w:rsid w:val="005F6E14"/>
    <w:rsid w:val="00600258"/>
    <w:rsid w:val="00600926"/>
    <w:rsid w:val="00611E5A"/>
    <w:rsid w:val="0061416E"/>
    <w:rsid w:val="00621B0C"/>
    <w:rsid w:val="0062361A"/>
    <w:rsid w:val="006267EC"/>
    <w:rsid w:val="0063451B"/>
    <w:rsid w:val="006345D0"/>
    <w:rsid w:val="00640E3D"/>
    <w:rsid w:val="0064409B"/>
    <w:rsid w:val="006525F4"/>
    <w:rsid w:val="00653C6B"/>
    <w:rsid w:val="00662C4A"/>
    <w:rsid w:val="00664111"/>
    <w:rsid w:val="00667B14"/>
    <w:rsid w:val="0068762E"/>
    <w:rsid w:val="00691F6B"/>
    <w:rsid w:val="00694BA2"/>
    <w:rsid w:val="006A68B8"/>
    <w:rsid w:val="006B01CE"/>
    <w:rsid w:val="006B3CFC"/>
    <w:rsid w:val="006B5014"/>
    <w:rsid w:val="006C2A83"/>
    <w:rsid w:val="006D1788"/>
    <w:rsid w:val="006E5069"/>
    <w:rsid w:val="006E56BD"/>
    <w:rsid w:val="006F65D6"/>
    <w:rsid w:val="006F77A0"/>
    <w:rsid w:val="006F7E3D"/>
    <w:rsid w:val="007014A0"/>
    <w:rsid w:val="00727758"/>
    <w:rsid w:val="00735316"/>
    <w:rsid w:val="00743857"/>
    <w:rsid w:val="0076103A"/>
    <w:rsid w:val="007628C2"/>
    <w:rsid w:val="007748C8"/>
    <w:rsid w:val="0078204C"/>
    <w:rsid w:val="007825E4"/>
    <w:rsid w:val="00782ED0"/>
    <w:rsid w:val="0079237E"/>
    <w:rsid w:val="00792E16"/>
    <w:rsid w:val="007A2C8F"/>
    <w:rsid w:val="007A3F1F"/>
    <w:rsid w:val="007A78B8"/>
    <w:rsid w:val="007A7C37"/>
    <w:rsid w:val="007B059E"/>
    <w:rsid w:val="007B0D09"/>
    <w:rsid w:val="007B1B8C"/>
    <w:rsid w:val="007B369E"/>
    <w:rsid w:val="007B3C95"/>
    <w:rsid w:val="007B566E"/>
    <w:rsid w:val="007B5D4E"/>
    <w:rsid w:val="007C11BB"/>
    <w:rsid w:val="007C151F"/>
    <w:rsid w:val="007C296E"/>
    <w:rsid w:val="007E3742"/>
    <w:rsid w:val="007E65FD"/>
    <w:rsid w:val="007E7C3D"/>
    <w:rsid w:val="007F30E4"/>
    <w:rsid w:val="0080172E"/>
    <w:rsid w:val="00821606"/>
    <w:rsid w:val="00821B47"/>
    <w:rsid w:val="008221CB"/>
    <w:rsid w:val="00823ED5"/>
    <w:rsid w:val="00841517"/>
    <w:rsid w:val="00855E72"/>
    <w:rsid w:val="0086520A"/>
    <w:rsid w:val="00880B3A"/>
    <w:rsid w:val="00890ADC"/>
    <w:rsid w:val="00896B8F"/>
    <w:rsid w:val="008A6D97"/>
    <w:rsid w:val="008B437C"/>
    <w:rsid w:val="008B6A1B"/>
    <w:rsid w:val="008D7EB2"/>
    <w:rsid w:val="008E2511"/>
    <w:rsid w:val="008E2F42"/>
    <w:rsid w:val="008E74E0"/>
    <w:rsid w:val="008F5BD2"/>
    <w:rsid w:val="008F7E03"/>
    <w:rsid w:val="00910972"/>
    <w:rsid w:val="00916AD8"/>
    <w:rsid w:val="00916C69"/>
    <w:rsid w:val="00924E1A"/>
    <w:rsid w:val="00930F3D"/>
    <w:rsid w:val="00931D96"/>
    <w:rsid w:val="0093355D"/>
    <w:rsid w:val="009402BA"/>
    <w:rsid w:val="00940A70"/>
    <w:rsid w:val="009412F1"/>
    <w:rsid w:val="0094130D"/>
    <w:rsid w:val="009414AC"/>
    <w:rsid w:val="009633C3"/>
    <w:rsid w:val="0096405D"/>
    <w:rsid w:val="0097031F"/>
    <w:rsid w:val="009722A3"/>
    <w:rsid w:val="00987F4D"/>
    <w:rsid w:val="00990E12"/>
    <w:rsid w:val="0099552D"/>
    <w:rsid w:val="00996890"/>
    <w:rsid w:val="009971E0"/>
    <w:rsid w:val="009A3CC5"/>
    <w:rsid w:val="009A5A26"/>
    <w:rsid w:val="009A65E5"/>
    <w:rsid w:val="009B3C27"/>
    <w:rsid w:val="009C5CD1"/>
    <w:rsid w:val="009E5943"/>
    <w:rsid w:val="009E5E67"/>
    <w:rsid w:val="009F2F78"/>
    <w:rsid w:val="009F6F83"/>
    <w:rsid w:val="00A1361E"/>
    <w:rsid w:val="00A1635C"/>
    <w:rsid w:val="00A27F7D"/>
    <w:rsid w:val="00A3762F"/>
    <w:rsid w:val="00A4190E"/>
    <w:rsid w:val="00A4324E"/>
    <w:rsid w:val="00A43ACA"/>
    <w:rsid w:val="00A60EEF"/>
    <w:rsid w:val="00A72CAE"/>
    <w:rsid w:val="00A840AB"/>
    <w:rsid w:val="00A9241E"/>
    <w:rsid w:val="00A93BF2"/>
    <w:rsid w:val="00A96142"/>
    <w:rsid w:val="00AB72AE"/>
    <w:rsid w:val="00AD39E7"/>
    <w:rsid w:val="00AD4CAA"/>
    <w:rsid w:val="00AD5614"/>
    <w:rsid w:val="00AE0532"/>
    <w:rsid w:val="00AE1C11"/>
    <w:rsid w:val="00AE3A45"/>
    <w:rsid w:val="00AE42F6"/>
    <w:rsid w:val="00AE47FB"/>
    <w:rsid w:val="00AF71F2"/>
    <w:rsid w:val="00B32177"/>
    <w:rsid w:val="00B41832"/>
    <w:rsid w:val="00B41E37"/>
    <w:rsid w:val="00B44451"/>
    <w:rsid w:val="00B472FB"/>
    <w:rsid w:val="00B532E7"/>
    <w:rsid w:val="00B66A15"/>
    <w:rsid w:val="00B861C1"/>
    <w:rsid w:val="00B877D3"/>
    <w:rsid w:val="00B973B7"/>
    <w:rsid w:val="00BA2125"/>
    <w:rsid w:val="00BA67DC"/>
    <w:rsid w:val="00BA7A17"/>
    <w:rsid w:val="00BC0357"/>
    <w:rsid w:val="00BC2045"/>
    <w:rsid w:val="00BC255C"/>
    <w:rsid w:val="00BD10F3"/>
    <w:rsid w:val="00BD2A5D"/>
    <w:rsid w:val="00BD2E16"/>
    <w:rsid w:val="00BD7670"/>
    <w:rsid w:val="00BE19F4"/>
    <w:rsid w:val="00BE2A4C"/>
    <w:rsid w:val="00BE3005"/>
    <w:rsid w:val="00BE660A"/>
    <w:rsid w:val="00BF32EA"/>
    <w:rsid w:val="00C02041"/>
    <w:rsid w:val="00C02B3D"/>
    <w:rsid w:val="00C1057E"/>
    <w:rsid w:val="00C24A3A"/>
    <w:rsid w:val="00C34BB7"/>
    <w:rsid w:val="00C42B67"/>
    <w:rsid w:val="00C55C40"/>
    <w:rsid w:val="00C560A0"/>
    <w:rsid w:val="00C64A1E"/>
    <w:rsid w:val="00C71316"/>
    <w:rsid w:val="00C738B6"/>
    <w:rsid w:val="00C8087D"/>
    <w:rsid w:val="00C83465"/>
    <w:rsid w:val="00CA3E95"/>
    <w:rsid w:val="00CC31DD"/>
    <w:rsid w:val="00CC679B"/>
    <w:rsid w:val="00CD1719"/>
    <w:rsid w:val="00CD1B27"/>
    <w:rsid w:val="00CE4301"/>
    <w:rsid w:val="00CE5EC7"/>
    <w:rsid w:val="00D11E43"/>
    <w:rsid w:val="00D215BD"/>
    <w:rsid w:val="00D306B2"/>
    <w:rsid w:val="00D32F5F"/>
    <w:rsid w:val="00D463D4"/>
    <w:rsid w:val="00D47A38"/>
    <w:rsid w:val="00D51A57"/>
    <w:rsid w:val="00D54949"/>
    <w:rsid w:val="00D66FF7"/>
    <w:rsid w:val="00D749AB"/>
    <w:rsid w:val="00D7602A"/>
    <w:rsid w:val="00D9110B"/>
    <w:rsid w:val="00D91423"/>
    <w:rsid w:val="00D91A5E"/>
    <w:rsid w:val="00D92F7D"/>
    <w:rsid w:val="00DA35B7"/>
    <w:rsid w:val="00DA51BC"/>
    <w:rsid w:val="00DA578B"/>
    <w:rsid w:val="00DB335C"/>
    <w:rsid w:val="00DB690F"/>
    <w:rsid w:val="00DD191F"/>
    <w:rsid w:val="00E00118"/>
    <w:rsid w:val="00E0725B"/>
    <w:rsid w:val="00E1057D"/>
    <w:rsid w:val="00E10640"/>
    <w:rsid w:val="00E17AB8"/>
    <w:rsid w:val="00E216CB"/>
    <w:rsid w:val="00E22890"/>
    <w:rsid w:val="00E236B7"/>
    <w:rsid w:val="00E2784E"/>
    <w:rsid w:val="00E30161"/>
    <w:rsid w:val="00E31F90"/>
    <w:rsid w:val="00E37F47"/>
    <w:rsid w:val="00E40D21"/>
    <w:rsid w:val="00E43C7A"/>
    <w:rsid w:val="00E57E51"/>
    <w:rsid w:val="00E6435A"/>
    <w:rsid w:val="00E976EA"/>
    <w:rsid w:val="00EA69FE"/>
    <w:rsid w:val="00EC41AF"/>
    <w:rsid w:val="00ED45A8"/>
    <w:rsid w:val="00ED733E"/>
    <w:rsid w:val="00EE6AC7"/>
    <w:rsid w:val="00EF5F52"/>
    <w:rsid w:val="00F067D6"/>
    <w:rsid w:val="00F107AA"/>
    <w:rsid w:val="00F10A77"/>
    <w:rsid w:val="00F162FA"/>
    <w:rsid w:val="00F17E78"/>
    <w:rsid w:val="00F33AC4"/>
    <w:rsid w:val="00F349F9"/>
    <w:rsid w:val="00F3598A"/>
    <w:rsid w:val="00F51227"/>
    <w:rsid w:val="00F531E0"/>
    <w:rsid w:val="00F61FBC"/>
    <w:rsid w:val="00F67178"/>
    <w:rsid w:val="00F8225F"/>
    <w:rsid w:val="00F8343D"/>
    <w:rsid w:val="00F8449D"/>
    <w:rsid w:val="00F94F8C"/>
    <w:rsid w:val="00F9757D"/>
    <w:rsid w:val="00FB0CE9"/>
    <w:rsid w:val="00FB1713"/>
    <w:rsid w:val="00FE429A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3B2A0-6C18-4937-B458-6F35A606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007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7D5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007D5"/>
  </w:style>
  <w:style w:type="character" w:styleId="Hipercze">
    <w:name w:val="Hyperlink"/>
    <w:basedOn w:val="Domylnaczcionkaakapitu"/>
    <w:uiPriority w:val="99"/>
    <w:semiHidden/>
    <w:unhideWhenUsed/>
    <w:rsid w:val="004007D5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A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A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7A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6D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D9F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45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45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justify">
    <w:name w:val="align-justify"/>
    <w:basedOn w:val="Normalny"/>
    <w:rsid w:val="006B5014"/>
    <w:pPr>
      <w:suppressAutoHyphens w:val="0"/>
      <w:autoSpaceDN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546F9-E7C8-4A54-A463-64BE8DC1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Dudzińska Maria</dc:creator>
  <cp:keywords/>
  <dc:description/>
  <cp:lastModifiedBy>Dudzińska Maria</cp:lastModifiedBy>
  <cp:revision>2</cp:revision>
  <cp:lastPrinted>2019-06-24T06:46:00Z</cp:lastPrinted>
  <dcterms:created xsi:type="dcterms:W3CDTF">2019-07-29T07:48:00Z</dcterms:created>
  <dcterms:modified xsi:type="dcterms:W3CDTF">2019-07-29T07:48:00Z</dcterms:modified>
</cp:coreProperties>
</file>