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9D39EA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9D39EA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5F1026">
        <w:rPr>
          <w:rFonts w:ascii="Arial" w:hAnsi="Arial" w:cs="Arial"/>
          <w:sz w:val="22"/>
          <w:szCs w:val="22"/>
        </w:rPr>
        <w:t>6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5F1026">
        <w:rPr>
          <w:rFonts w:ascii="Arial" w:hAnsi="Arial" w:cs="Arial"/>
          <w:sz w:val="22"/>
          <w:szCs w:val="22"/>
        </w:rPr>
        <w:t xml:space="preserve">marca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3757DA" w:rsidRDefault="003757D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A3F" w:rsidRPr="00054FDE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4FDE">
        <w:rPr>
          <w:rFonts w:ascii="Arial" w:hAnsi="Arial" w:cs="Arial"/>
          <w:b/>
          <w:sz w:val="22"/>
          <w:szCs w:val="22"/>
        </w:rPr>
        <w:t>Informacja prasowa</w:t>
      </w:r>
    </w:p>
    <w:p w:rsidR="00F124C3" w:rsidRPr="00054FDE" w:rsidRDefault="00CC5C00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Nowa estakada kolejowa w Krakowie</w:t>
      </w:r>
    </w:p>
    <w:bookmarkEnd w:id="0"/>
    <w:p w:rsidR="00BC3133" w:rsidRDefault="00CA3715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57DA">
        <w:rPr>
          <w:rFonts w:ascii="Arial" w:hAnsi="Arial" w:cs="Arial"/>
          <w:b/>
          <w:sz w:val="22"/>
          <w:szCs w:val="22"/>
        </w:rPr>
        <w:t xml:space="preserve">Postępuje największa inwestycja kolejowa w stolicy Małopolski. </w:t>
      </w:r>
      <w:r w:rsidR="00EA775C" w:rsidRPr="003757DA">
        <w:rPr>
          <w:rFonts w:ascii="Arial" w:hAnsi="Arial" w:cs="Arial"/>
          <w:b/>
          <w:sz w:val="22"/>
          <w:szCs w:val="22"/>
        </w:rPr>
        <w:t xml:space="preserve">Pierwsza estakada kolejowa </w:t>
      </w:r>
      <w:r w:rsidR="00CC5C00" w:rsidRPr="003757DA">
        <w:rPr>
          <w:rFonts w:ascii="Arial" w:hAnsi="Arial" w:cs="Arial"/>
          <w:b/>
          <w:sz w:val="22"/>
          <w:szCs w:val="22"/>
        </w:rPr>
        <w:t>między</w:t>
      </w:r>
      <w:r w:rsidR="0091076F" w:rsidRPr="003757D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ul. Kopernika a ul. Miodową</w:t>
      </w:r>
      <w:r w:rsidR="00CC5C00" w:rsidRPr="003757DA">
        <w:rPr>
          <w:rFonts w:ascii="Arial" w:hAnsi="Arial" w:cs="Arial"/>
          <w:b/>
          <w:sz w:val="22"/>
          <w:szCs w:val="22"/>
        </w:rPr>
        <w:t xml:space="preserve"> </w:t>
      </w:r>
      <w:r w:rsidR="00EA775C" w:rsidRPr="003757DA">
        <w:rPr>
          <w:rFonts w:ascii="Arial" w:hAnsi="Arial" w:cs="Arial"/>
          <w:b/>
          <w:sz w:val="22"/>
          <w:szCs w:val="22"/>
        </w:rPr>
        <w:t xml:space="preserve">jest gotowa na ułożenie torów. </w:t>
      </w:r>
      <w:r w:rsidR="00CC5C00" w:rsidRPr="003757DA">
        <w:rPr>
          <w:rFonts w:ascii="Arial" w:hAnsi="Arial" w:cs="Arial"/>
          <w:b/>
          <w:sz w:val="22"/>
          <w:szCs w:val="22"/>
        </w:rPr>
        <w:t xml:space="preserve">Montowane są kolejne segmenty konstrukcji na </w:t>
      </w:r>
      <w:r w:rsidR="001B6025" w:rsidRPr="003757DA">
        <w:rPr>
          <w:rFonts w:ascii="Arial" w:hAnsi="Arial" w:cs="Arial"/>
          <w:b/>
          <w:sz w:val="22"/>
          <w:szCs w:val="22"/>
        </w:rPr>
        <w:t>estakadach, w</w:t>
      </w:r>
      <w:r w:rsidR="00B454DA">
        <w:rPr>
          <w:rFonts w:ascii="Arial" w:hAnsi="Arial" w:cs="Arial"/>
          <w:b/>
          <w:sz w:val="22"/>
          <w:szCs w:val="22"/>
        </w:rPr>
        <w:t xml:space="preserve">iaduktach i moście nad Wisłą. </w:t>
      </w:r>
      <w:r w:rsidR="00B454DA" w:rsidRPr="00B454DA">
        <w:rPr>
          <w:rFonts w:ascii="Arial" w:hAnsi="Arial" w:cs="Arial"/>
          <w:b/>
          <w:sz w:val="22"/>
          <w:szCs w:val="22"/>
        </w:rPr>
        <w:t>W </w:t>
      </w:r>
      <w:r w:rsidR="001B6025" w:rsidRPr="00B454DA">
        <w:rPr>
          <w:rFonts w:ascii="Arial" w:hAnsi="Arial" w:cs="Arial"/>
          <w:b/>
          <w:sz w:val="22"/>
          <w:szCs w:val="22"/>
        </w:rPr>
        <w:t>połowie</w:t>
      </w:r>
      <w:r w:rsidR="001B6025" w:rsidRPr="003757DA">
        <w:rPr>
          <w:rFonts w:ascii="Arial" w:hAnsi="Arial" w:cs="Arial"/>
          <w:b/>
          <w:sz w:val="22"/>
          <w:szCs w:val="22"/>
        </w:rPr>
        <w:t xml:space="preserve"> roku PKP Polskie Linie Kolejowe S.A.</w:t>
      </w:r>
      <w:r w:rsidR="001B6025">
        <w:rPr>
          <w:rFonts w:ascii="Arial" w:hAnsi="Arial" w:cs="Arial"/>
          <w:b/>
          <w:sz w:val="22"/>
          <w:szCs w:val="22"/>
        </w:rPr>
        <w:t xml:space="preserve"> planują </w:t>
      </w:r>
      <w:r w:rsidR="00CC5C00">
        <w:rPr>
          <w:rFonts w:ascii="Arial" w:hAnsi="Arial" w:cs="Arial"/>
          <w:b/>
          <w:sz w:val="22"/>
          <w:szCs w:val="22"/>
        </w:rPr>
        <w:t xml:space="preserve">przejazdy pociągów po </w:t>
      </w:r>
      <w:r w:rsidR="00AD10BF">
        <w:rPr>
          <w:rFonts w:ascii="Arial" w:hAnsi="Arial" w:cs="Arial"/>
          <w:b/>
          <w:sz w:val="22"/>
          <w:szCs w:val="22"/>
        </w:rPr>
        <w:t>nowy</w:t>
      </w:r>
      <w:r w:rsidR="00CC5C00">
        <w:rPr>
          <w:rFonts w:ascii="Arial" w:hAnsi="Arial" w:cs="Arial"/>
          <w:b/>
          <w:sz w:val="22"/>
          <w:szCs w:val="22"/>
        </w:rPr>
        <w:t>m</w:t>
      </w:r>
      <w:r w:rsidR="00AD10BF">
        <w:rPr>
          <w:rFonts w:ascii="Arial" w:hAnsi="Arial" w:cs="Arial"/>
          <w:b/>
          <w:sz w:val="22"/>
          <w:szCs w:val="22"/>
        </w:rPr>
        <w:t xml:space="preserve"> tor</w:t>
      </w:r>
      <w:r w:rsidR="00CC5C00">
        <w:rPr>
          <w:rFonts w:ascii="Arial" w:hAnsi="Arial" w:cs="Arial"/>
          <w:b/>
          <w:sz w:val="22"/>
          <w:szCs w:val="22"/>
        </w:rPr>
        <w:t>ze</w:t>
      </w:r>
      <w:r w:rsidR="001B6025">
        <w:rPr>
          <w:rFonts w:ascii="Arial" w:hAnsi="Arial" w:cs="Arial"/>
          <w:b/>
          <w:sz w:val="22"/>
          <w:szCs w:val="22"/>
        </w:rPr>
        <w:t xml:space="preserve">. </w:t>
      </w:r>
      <w:r w:rsidR="00CC5C00">
        <w:rPr>
          <w:rFonts w:ascii="Arial" w:hAnsi="Arial" w:cs="Arial"/>
          <w:b/>
          <w:sz w:val="22"/>
          <w:szCs w:val="22"/>
        </w:rPr>
        <w:t>Inwestycja współfinasowana z CEF Łącząc Europę warta jest</w:t>
      </w:r>
      <w:r w:rsidR="00FD6F95">
        <w:rPr>
          <w:rFonts w:ascii="Arial" w:hAnsi="Arial" w:cs="Arial"/>
          <w:b/>
          <w:sz w:val="22"/>
          <w:szCs w:val="22"/>
        </w:rPr>
        <w:t xml:space="preserve"> blisko miliard z</w:t>
      </w:r>
      <w:r w:rsidR="00CC5C00">
        <w:rPr>
          <w:rFonts w:ascii="Arial" w:hAnsi="Arial" w:cs="Arial"/>
          <w:b/>
          <w:sz w:val="22"/>
          <w:szCs w:val="22"/>
        </w:rPr>
        <w:t>ł</w:t>
      </w:r>
      <w:r w:rsidR="00FD6F95">
        <w:rPr>
          <w:rFonts w:ascii="Arial" w:hAnsi="Arial" w:cs="Arial"/>
          <w:b/>
          <w:sz w:val="22"/>
          <w:szCs w:val="22"/>
        </w:rPr>
        <w:t>.</w:t>
      </w:r>
    </w:p>
    <w:p w:rsidR="003757DA" w:rsidRDefault="003757DA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5557AC" w:rsidRDefault="0091076F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 okolicach ul. Grzegórzeckiej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A775C">
        <w:rPr>
          <w:rFonts w:ascii="Arial" w:hAnsi="Arial" w:cs="Arial"/>
          <w:iCs/>
          <w:color w:val="000000" w:themeColor="text1"/>
          <w:sz w:val="22"/>
          <w:szCs w:val="22"/>
        </w:rPr>
        <w:t xml:space="preserve">powstają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dwie estakady, które zastąpią nasyp kolejowy pomiędzy ul. Kopernika a ul. Miodową. </w:t>
      </w:r>
      <w:r w:rsidR="00EA775C">
        <w:rPr>
          <w:rFonts w:ascii="Arial" w:hAnsi="Arial" w:cs="Arial"/>
          <w:iCs/>
          <w:color w:val="000000" w:themeColor="text1"/>
          <w:sz w:val="22"/>
          <w:szCs w:val="22"/>
        </w:rPr>
        <w:t xml:space="preserve">Obiekt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wzdłuż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>ul. Blich</w:t>
      </w:r>
      <w:r w:rsidR="00EA775C">
        <w:rPr>
          <w:rFonts w:ascii="Arial" w:hAnsi="Arial" w:cs="Arial"/>
          <w:iCs/>
          <w:color w:val="000000" w:themeColor="text1"/>
          <w:sz w:val="22"/>
          <w:szCs w:val="22"/>
        </w:rPr>
        <w:t xml:space="preserve"> jest już gotowy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 W</w:t>
      </w:r>
      <w:r w:rsidR="00EA775C">
        <w:rPr>
          <w:rFonts w:ascii="Arial" w:hAnsi="Arial" w:cs="Arial"/>
          <w:iCs/>
          <w:color w:val="000000" w:themeColor="text1"/>
          <w:sz w:val="22"/>
          <w:szCs w:val="22"/>
        </w:rPr>
        <w:t xml:space="preserve">ykonawca przystąpi do budowy torów.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Jeszcze w tym tygodniu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będzie położona specjalna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mata wibroizolacyjna,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która ogranicza 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t xml:space="preserve">drgania i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oddziaływan</w:t>
      </w:r>
      <w:r w:rsidR="00B454DA">
        <w:rPr>
          <w:rFonts w:ascii="Arial" w:hAnsi="Arial" w:cs="Arial"/>
          <w:iCs/>
          <w:color w:val="000000" w:themeColor="text1"/>
          <w:sz w:val="22"/>
          <w:szCs w:val="22"/>
        </w:rPr>
        <w:t>ie przejeżdżających pociągów na 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otoczenie. 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t xml:space="preserve">Następnie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montowane 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t xml:space="preserve">będą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tory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Powstaje 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t xml:space="preserve">równocześnie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nowa część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 xml:space="preserve">XIX – wiecznego wiaduktu kolejowego.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>najbliższych miesi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ącach</w:t>
      </w:r>
      <w:r w:rsidR="00B454DA">
        <w:rPr>
          <w:rFonts w:ascii="Arial" w:hAnsi="Arial" w:cs="Arial"/>
          <w:iCs/>
          <w:color w:val="000000" w:themeColor="text1"/>
          <w:sz w:val="22"/>
          <w:szCs w:val="22"/>
        </w:rPr>
        <w:t xml:space="preserve"> zostanie połączona z </w:t>
      </w:r>
      <w:r w:rsidR="005557AC">
        <w:rPr>
          <w:rFonts w:ascii="Arial" w:hAnsi="Arial" w:cs="Arial"/>
          <w:iCs/>
          <w:color w:val="000000" w:themeColor="text1"/>
          <w:sz w:val="22"/>
          <w:szCs w:val="22"/>
        </w:rPr>
        <w:t>wybudowanymi po sąsiedzku estakadami.</w:t>
      </w:r>
    </w:p>
    <w:p w:rsidR="00D6356F" w:rsidRDefault="00DC73C5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Kilkaset metr</w:t>
      </w:r>
      <w:r w:rsidR="0091076F">
        <w:rPr>
          <w:rFonts w:ascii="Arial" w:hAnsi="Arial" w:cs="Arial"/>
          <w:iCs/>
          <w:color w:val="000000" w:themeColor="text1"/>
          <w:sz w:val="22"/>
          <w:szCs w:val="22"/>
        </w:rPr>
        <w:t xml:space="preserve">ów dalej, wzdłuż ul. Halickiej przygotowywany jest </w:t>
      </w:r>
      <w:r w:rsidR="00D76FAE">
        <w:rPr>
          <w:rFonts w:ascii="Arial" w:hAnsi="Arial" w:cs="Arial"/>
          <w:iCs/>
          <w:color w:val="000000" w:themeColor="text1"/>
          <w:sz w:val="22"/>
          <w:szCs w:val="22"/>
        </w:rPr>
        <w:t>nasyp kolejowy.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1076F">
        <w:rPr>
          <w:rFonts w:ascii="Arial" w:hAnsi="Arial" w:cs="Arial"/>
          <w:iCs/>
          <w:color w:val="000000" w:themeColor="text1"/>
          <w:sz w:val="22"/>
          <w:szCs w:val="22"/>
        </w:rPr>
        <w:t xml:space="preserve">Budowla </w:t>
      </w:r>
      <w:r w:rsidR="00D76FAE">
        <w:rPr>
          <w:rFonts w:ascii="Arial" w:hAnsi="Arial" w:cs="Arial"/>
          <w:iCs/>
          <w:color w:val="000000" w:themeColor="text1"/>
          <w:sz w:val="22"/>
          <w:szCs w:val="22"/>
        </w:rPr>
        <w:t>będzie ograniczona murem oporowym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91076F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D76FAE">
        <w:rPr>
          <w:rFonts w:ascii="Arial" w:hAnsi="Arial" w:cs="Arial"/>
          <w:iCs/>
          <w:color w:val="000000" w:themeColor="text1"/>
          <w:sz w:val="22"/>
          <w:szCs w:val="22"/>
        </w:rPr>
        <w:t xml:space="preserve">ierwszy fragment widać już od strony ul. Podgórskiej. 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Kluczowym elementem inwestycji jest budowa nowych mostów na Wiśle. Konstrukcja pierwszej z trzech nowych przepraw będzie gotowa do końca kwietnia. Dwa z trzech przęseł zostały już zabetonowane. Obecnie trwa montaż stalowych łuków, na których będzie most. </w:t>
      </w:r>
      <w:r w:rsidR="0091076F">
        <w:rPr>
          <w:rFonts w:ascii="Arial" w:hAnsi="Arial" w:cs="Arial"/>
          <w:iCs/>
          <w:color w:val="000000" w:themeColor="text1"/>
          <w:sz w:val="22"/>
          <w:szCs w:val="22"/>
        </w:rPr>
        <w:t xml:space="preserve">Łuki ważą ok. 940 ton, składają się z </w:t>
      </w:r>
      <w:r w:rsidR="00D6356F" w:rsidRPr="00054FDE">
        <w:rPr>
          <w:rFonts w:ascii="Arial" w:hAnsi="Arial" w:cs="Arial"/>
          <w:iCs/>
          <w:color w:val="000000" w:themeColor="text1"/>
          <w:sz w:val="22"/>
          <w:szCs w:val="22"/>
        </w:rPr>
        <w:t xml:space="preserve">42 części. </w:t>
      </w:r>
    </w:p>
    <w:p w:rsidR="00B454DA" w:rsidRDefault="00B454DA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D6F95" w:rsidRDefault="00FD6F95" w:rsidP="00FD6F95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D6F95">
        <w:rPr>
          <w:rFonts w:ascii="Arial" w:hAnsi="Arial" w:cs="Arial"/>
          <w:b/>
          <w:iCs/>
          <w:color w:val="000000" w:themeColor="text1"/>
          <w:sz w:val="22"/>
          <w:szCs w:val="22"/>
        </w:rPr>
        <w:t>Najważniejszym elementem kolejowej inwestycji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FD6F95">
        <w:rPr>
          <w:rFonts w:ascii="Arial" w:hAnsi="Arial" w:cs="Arial"/>
          <w:b/>
          <w:iCs/>
          <w:color w:val="000000" w:themeColor="text1"/>
          <w:sz w:val="22"/>
          <w:szCs w:val="22"/>
        </w:rPr>
        <w:t>w Krakowie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jest budowa dodatkowych torów, pomiędzy Krakowem Głównym a Krakowem </w:t>
      </w: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Płaszowem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>. Wykonawca skupia się na przygotowaniu obiektów pod pierwszy z czterech torów. Pociągi powinny pojechać po nim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>w połowie roku. Kolejno będą budowane pozostałe. Równocześnie planowana jest rozbiórka reszty nasypu kolejowego. Przyjęte rozwiązania pozwalają na utrzymanie ruchu pociągów pasażerskich na najważniejszej linii kolejowej w centrum Krakowa.</w:t>
      </w:r>
    </w:p>
    <w:p w:rsidR="003757DA" w:rsidRDefault="003757DA" w:rsidP="00FD6F95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3757DA" w:rsidRDefault="003757DA" w:rsidP="00FD6F95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3757DA" w:rsidRDefault="003757DA" w:rsidP="00FD6F95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FD6F95" w:rsidRDefault="00FD6F95" w:rsidP="00FD6F95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Inwestycję PKP Polskich Linii Kolejowych S.A. widać na długości prawie 20 km. Prace nie zwalniają tempa w centrum Krakowa i na dalej położonych odcinkach. Pracuje 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t>kilka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set osób. Wykorzystywane jest ponad 100 ciężkich maszyn budowlanych.</w:t>
      </w:r>
      <w:r w:rsidRPr="00FD6F9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Przy modernizacji krakowskiej linii średnicowej wykonawca ułożył już przeszło 10 km nowych torów. Wylano</w:t>
      </w:r>
      <w:r w:rsidR="003757DA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25 tys. </w:t>
      </w:r>
      <w:r w:rsidRPr="00EA775C">
        <w:rPr>
          <w:rFonts w:ascii="Arial" w:hAnsi="Arial" w:cs="Arial"/>
          <w:iCs/>
          <w:color w:val="000000" w:themeColor="text1"/>
          <w:sz w:val="22"/>
          <w:szCs w:val="22"/>
        </w:rPr>
        <w:t>m</w:t>
      </w:r>
      <w:r w:rsidRPr="00EA775C">
        <w:rPr>
          <w:rFonts w:ascii="Arial" w:hAnsi="Arial" w:cs="Arial"/>
          <w:iCs/>
          <w:color w:val="000000" w:themeColor="text1"/>
          <w:sz w:val="22"/>
          <w:szCs w:val="22"/>
          <w:vertAlign w:val="superscript"/>
        </w:rPr>
        <w:t>3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betonu i zużyto 3 tys. ton stali zbrojeniowej. </w:t>
      </w:r>
    </w:p>
    <w:p w:rsidR="00FD6F95" w:rsidRDefault="00FD6F95" w:rsidP="00CD7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6F95" w:rsidRDefault="00CD7E06" w:rsidP="00CD7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Główne prace budowlane zakończą się w 2020 r</w:t>
      </w:r>
      <w:r w:rsidR="007E02BB">
        <w:rPr>
          <w:rFonts w:ascii="Arial" w:hAnsi="Arial" w:cs="Arial"/>
          <w:sz w:val="22"/>
          <w:szCs w:val="22"/>
        </w:rPr>
        <w:t>, a cała inwestycja w połowie 2021 r</w:t>
      </w:r>
      <w:r>
        <w:rPr>
          <w:rFonts w:ascii="Arial" w:hAnsi="Arial" w:cs="Arial"/>
          <w:sz w:val="22"/>
          <w:szCs w:val="22"/>
        </w:rPr>
        <w:t xml:space="preserve">. </w:t>
      </w:r>
      <w:r w:rsidR="003757DA">
        <w:rPr>
          <w:rFonts w:ascii="Arial" w:hAnsi="Arial" w:cs="Arial"/>
          <w:sz w:val="22"/>
          <w:szCs w:val="22"/>
        </w:rPr>
        <w:br/>
        <w:t>W</w:t>
      </w:r>
      <w:r>
        <w:rPr>
          <w:rFonts w:ascii="Arial" w:hAnsi="Arial" w:cs="Arial"/>
          <w:sz w:val="22"/>
          <w:szCs w:val="22"/>
        </w:rPr>
        <w:t xml:space="preserve">artość </w:t>
      </w:r>
      <w:r w:rsidR="003757DA">
        <w:rPr>
          <w:rFonts w:ascii="Arial" w:hAnsi="Arial" w:cs="Arial"/>
          <w:sz w:val="22"/>
          <w:szCs w:val="22"/>
        </w:rPr>
        <w:t xml:space="preserve">projektu </w:t>
      </w:r>
      <w:r>
        <w:rPr>
          <w:rFonts w:ascii="Arial" w:hAnsi="Arial" w:cs="Arial"/>
          <w:sz w:val="22"/>
          <w:szCs w:val="22"/>
        </w:rPr>
        <w:t>wynosi niemal 1 mld zł.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FD4EC1">
        <w:rPr>
          <w:rFonts w:ascii="Arial" w:hAnsi="Arial" w:cs="Arial"/>
          <w:sz w:val="22"/>
          <w:szCs w:val="22"/>
        </w:rPr>
        <w:t>Projekt „</w:t>
      </w:r>
      <w:r>
        <w:rPr>
          <w:rFonts w:ascii="Arial" w:hAnsi="Arial" w:cs="Arial"/>
          <w:sz w:val="22"/>
          <w:szCs w:val="22"/>
        </w:rPr>
        <w:t>Prace na linii kolejowej E30 na odcinku Kraków Główny Towarowy – Rudzice wraz z dobudową torów linii aglomeracyjnej</w:t>
      </w:r>
      <w:r w:rsidRPr="00FD4EC1">
        <w:rPr>
          <w:rFonts w:ascii="Arial" w:hAnsi="Arial" w:cs="Arial"/>
          <w:sz w:val="22"/>
          <w:szCs w:val="22"/>
        </w:rPr>
        <w:t>” jest dofinansowany ze środków Unii Europejskiej, w ramac</w:t>
      </w:r>
      <w:r w:rsidR="00B13A7F">
        <w:rPr>
          <w:rFonts w:ascii="Arial" w:hAnsi="Arial" w:cs="Arial"/>
          <w:sz w:val="22"/>
          <w:szCs w:val="22"/>
        </w:rPr>
        <w:t>h programu CEF „Łącząc Europę”.</w:t>
      </w:r>
      <w:r w:rsidR="007E02BB">
        <w:rPr>
          <w:rFonts w:ascii="Arial" w:hAnsi="Arial" w:cs="Arial"/>
          <w:sz w:val="22"/>
          <w:szCs w:val="22"/>
        </w:rPr>
        <w:t xml:space="preserve"> </w:t>
      </w:r>
    </w:p>
    <w:p w:rsidR="003757DA" w:rsidRPr="00B454DA" w:rsidRDefault="003757DA" w:rsidP="00CD7E06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7E06" w:rsidRPr="00B454DA" w:rsidRDefault="007E02BB" w:rsidP="00CD7E06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54DA">
        <w:rPr>
          <w:rFonts w:ascii="Arial" w:hAnsi="Arial" w:cs="Arial"/>
          <w:b/>
          <w:sz w:val="22"/>
          <w:szCs w:val="22"/>
        </w:rPr>
        <w:t xml:space="preserve">Więcej informacji o projekcie na stronie </w:t>
      </w:r>
      <w:hyperlink r:id="rId8" w:history="1">
        <w:r w:rsidR="00B454DA" w:rsidRPr="00B454DA">
          <w:rPr>
            <w:rStyle w:val="Hipercze"/>
            <w:rFonts w:ascii="Arial" w:hAnsi="Arial" w:cs="Arial"/>
            <w:b/>
            <w:color w:val="auto"/>
            <w:sz w:val="22"/>
            <w:szCs w:val="22"/>
          </w:rPr>
          <w:t>krakow-rudzice.pl</w:t>
        </w:r>
      </w:hyperlink>
    </w:p>
    <w:p w:rsidR="00B13A7F" w:rsidRDefault="00B13A7F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4037DAD" wp14:editId="74F93BAC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85" w:rsidRPr="00B13A7F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211A34" w:rsidRDefault="00102768" w:rsidP="003757DA">
      <w:pPr>
        <w:contextualSpacing/>
        <w:jc w:val="right"/>
        <w:rPr>
          <w:rFonts w:ascii="Arial" w:hAnsi="Arial" w:cs="Arial"/>
          <w:b/>
          <w:bCs/>
          <w:sz w:val="22"/>
          <w:szCs w:val="22"/>
        </w:rPr>
      </w:pPr>
      <w:r w:rsidRPr="00211A34">
        <w:rPr>
          <w:rFonts w:ascii="Arial" w:hAnsi="Arial" w:cs="Arial"/>
          <w:b/>
          <w:bCs/>
          <w:sz w:val="22"/>
          <w:szCs w:val="22"/>
        </w:rPr>
        <w:t>Piotr Hamarnik</w:t>
      </w:r>
    </w:p>
    <w:p w:rsidR="00102768" w:rsidRPr="00211A34" w:rsidRDefault="00102768" w:rsidP="003757DA">
      <w:pPr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 xml:space="preserve">Zespół prasowy </w:t>
      </w:r>
    </w:p>
    <w:p w:rsidR="00102768" w:rsidRPr="00211A34" w:rsidRDefault="00102768" w:rsidP="003757DA">
      <w:pPr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>PKP Polskie Linie Kolejowe S.A.</w:t>
      </w:r>
    </w:p>
    <w:p w:rsidR="00102768" w:rsidRPr="00211A34" w:rsidRDefault="00102768" w:rsidP="003757DA">
      <w:pPr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 xml:space="preserve">piotr.hamarnik@plk-sa.pl </w:t>
      </w:r>
    </w:p>
    <w:p w:rsidR="003325E3" w:rsidRPr="00211A34" w:rsidRDefault="00102768" w:rsidP="003757DA">
      <w:pPr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>T: + 48 605 352</w:t>
      </w:r>
      <w:r w:rsidR="009F607E" w:rsidRPr="00211A34">
        <w:rPr>
          <w:rFonts w:ascii="Arial" w:hAnsi="Arial" w:cs="Arial"/>
          <w:sz w:val="22"/>
          <w:szCs w:val="22"/>
          <w:lang w:val="en-US"/>
        </w:rPr>
        <w:t> </w:t>
      </w:r>
      <w:r w:rsidRPr="00211A34">
        <w:rPr>
          <w:rFonts w:ascii="Arial" w:hAnsi="Arial" w:cs="Arial"/>
          <w:sz w:val="22"/>
          <w:szCs w:val="22"/>
          <w:lang w:val="en-US"/>
        </w:rPr>
        <w:t>883</w:t>
      </w:r>
    </w:p>
    <w:p w:rsidR="00BE3921" w:rsidRPr="009D39EA" w:rsidRDefault="00BE3921" w:rsidP="00102768">
      <w:pPr>
        <w:jc w:val="center"/>
        <w:rPr>
          <w:rFonts w:ascii="Arial" w:hAnsi="Arial" w:cs="Arial"/>
          <w:b/>
          <w:sz w:val="20"/>
          <w:szCs w:val="20"/>
          <w:lang w:val="en-AU"/>
        </w:rPr>
      </w:pPr>
    </w:p>
    <w:p w:rsidR="00BE3921" w:rsidRDefault="00BE3921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9B58C6" w:rsidRDefault="009B58C6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9B58C6" w:rsidRPr="009D39EA" w:rsidRDefault="009B58C6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D32385" w:rsidRPr="009D39EA" w:rsidRDefault="00D32385" w:rsidP="00DF1580">
      <w:pPr>
        <w:rPr>
          <w:rFonts w:ascii="Arial" w:hAnsi="Arial" w:cs="Arial"/>
          <w:b/>
          <w:sz w:val="20"/>
          <w:szCs w:val="20"/>
          <w:lang w:val="en-AU"/>
        </w:rPr>
      </w:pPr>
    </w:p>
    <w:p w:rsidR="00BE3921" w:rsidRPr="009D39EA" w:rsidRDefault="00BE3921" w:rsidP="00102768">
      <w:pPr>
        <w:jc w:val="center"/>
        <w:rPr>
          <w:rFonts w:ascii="Arial" w:hAnsi="Arial" w:cs="Arial"/>
          <w:b/>
          <w:sz w:val="20"/>
          <w:szCs w:val="20"/>
          <w:lang w:val="en-AU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8F" w:rsidRDefault="0083278F" w:rsidP="006B0DBA">
      <w:r>
        <w:separator/>
      </w:r>
    </w:p>
  </w:endnote>
  <w:endnote w:type="continuationSeparator" w:id="0">
    <w:p w:rsidR="0083278F" w:rsidRDefault="0083278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8F" w:rsidRDefault="0083278F" w:rsidP="006B0DBA">
      <w:r w:rsidRPr="006B0DBA">
        <w:rPr>
          <w:color w:val="000000"/>
        </w:rPr>
        <w:separator/>
      </w:r>
    </w:p>
  </w:footnote>
  <w:footnote w:type="continuationSeparator" w:id="0">
    <w:p w:rsidR="0083278F" w:rsidRDefault="0083278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2C3A"/>
    <w:rsid w:val="000354CC"/>
    <w:rsid w:val="00046A19"/>
    <w:rsid w:val="00050746"/>
    <w:rsid w:val="000508E1"/>
    <w:rsid w:val="00051862"/>
    <w:rsid w:val="00053DD2"/>
    <w:rsid w:val="00054BC9"/>
    <w:rsid w:val="00054FDE"/>
    <w:rsid w:val="00057B58"/>
    <w:rsid w:val="00067D9A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A64BF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937AB"/>
    <w:rsid w:val="001A1CB7"/>
    <w:rsid w:val="001B002C"/>
    <w:rsid w:val="001B08DB"/>
    <w:rsid w:val="001B2428"/>
    <w:rsid w:val="001B6025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1A34"/>
    <w:rsid w:val="0021354B"/>
    <w:rsid w:val="002167DB"/>
    <w:rsid w:val="0022445F"/>
    <w:rsid w:val="00224DB5"/>
    <w:rsid w:val="00232F3C"/>
    <w:rsid w:val="00246776"/>
    <w:rsid w:val="00251066"/>
    <w:rsid w:val="0025219F"/>
    <w:rsid w:val="002577AA"/>
    <w:rsid w:val="00260A3B"/>
    <w:rsid w:val="00262284"/>
    <w:rsid w:val="002710E3"/>
    <w:rsid w:val="002903EF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28F8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757DA"/>
    <w:rsid w:val="00382CC9"/>
    <w:rsid w:val="00392009"/>
    <w:rsid w:val="00393243"/>
    <w:rsid w:val="00393987"/>
    <w:rsid w:val="00393BE5"/>
    <w:rsid w:val="003957EE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57AA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36EDB"/>
    <w:rsid w:val="00542511"/>
    <w:rsid w:val="00546EB4"/>
    <w:rsid w:val="00552A74"/>
    <w:rsid w:val="005557AC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1F9E"/>
    <w:rsid w:val="0059483B"/>
    <w:rsid w:val="00595400"/>
    <w:rsid w:val="00597BBF"/>
    <w:rsid w:val="005A4194"/>
    <w:rsid w:val="005A5E84"/>
    <w:rsid w:val="005A7410"/>
    <w:rsid w:val="005B069D"/>
    <w:rsid w:val="005B4B9A"/>
    <w:rsid w:val="005B65A3"/>
    <w:rsid w:val="005C42FB"/>
    <w:rsid w:val="005C5E1B"/>
    <w:rsid w:val="005E6653"/>
    <w:rsid w:val="005F1026"/>
    <w:rsid w:val="005F55B8"/>
    <w:rsid w:val="006014E1"/>
    <w:rsid w:val="00603388"/>
    <w:rsid w:val="00606285"/>
    <w:rsid w:val="006062C6"/>
    <w:rsid w:val="00612FE0"/>
    <w:rsid w:val="006210E6"/>
    <w:rsid w:val="0062230E"/>
    <w:rsid w:val="006528A6"/>
    <w:rsid w:val="006541D3"/>
    <w:rsid w:val="006636BD"/>
    <w:rsid w:val="00664164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20D3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0F69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D04D0"/>
    <w:rsid w:val="007D1FB5"/>
    <w:rsid w:val="007D30D5"/>
    <w:rsid w:val="007E02BB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3278F"/>
    <w:rsid w:val="008363E9"/>
    <w:rsid w:val="0084331A"/>
    <w:rsid w:val="00846176"/>
    <w:rsid w:val="0084688E"/>
    <w:rsid w:val="0085566A"/>
    <w:rsid w:val="00856A01"/>
    <w:rsid w:val="00860EB5"/>
    <w:rsid w:val="008710C1"/>
    <w:rsid w:val="008745D5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1076F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A64D0"/>
    <w:rsid w:val="009B0748"/>
    <w:rsid w:val="009B0AA4"/>
    <w:rsid w:val="009B2A7A"/>
    <w:rsid w:val="009B58C6"/>
    <w:rsid w:val="009B5A53"/>
    <w:rsid w:val="009C00DC"/>
    <w:rsid w:val="009C0CD1"/>
    <w:rsid w:val="009C17C7"/>
    <w:rsid w:val="009C27A8"/>
    <w:rsid w:val="009C6F0E"/>
    <w:rsid w:val="009D1C6B"/>
    <w:rsid w:val="009D39EA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1783"/>
    <w:rsid w:val="00A228B0"/>
    <w:rsid w:val="00A24755"/>
    <w:rsid w:val="00A255F7"/>
    <w:rsid w:val="00A30573"/>
    <w:rsid w:val="00A32D28"/>
    <w:rsid w:val="00A32EF7"/>
    <w:rsid w:val="00A349C2"/>
    <w:rsid w:val="00A3673D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10BF"/>
    <w:rsid w:val="00AD3E2A"/>
    <w:rsid w:val="00AE011D"/>
    <w:rsid w:val="00AE329A"/>
    <w:rsid w:val="00AE6912"/>
    <w:rsid w:val="00AF121D"/>
    <w:rsid w:val="00AF2A57"/>
    <w:rsid w:val="00AF5BBB"/>
    <w:rsid w:val="00AF68C0"/>
    <w:rsid w:val="00B0203B"/>
    <w:rsid w:val="00B03653"/>
    <w:rsid w:val="00B10356"/>
    <w:rsid w:val="00B134A9"/>
    <w:rsid w:val="00B13A7F"/>
    <w:rsid w:val="00B15784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454DA"/>
    <w:rsid w:val="00B46118"/>
    <w:rsid w:val="00B46E1B"/>
    <w:rsid w:val="00B50D25"/>
    <w:rsid w:val="00B50D5E"/>
    <w:rsid w:val="00B517B5"/>
    <w:rsid w:val="00B52348"/>
    <w:rsid w:val="00B566C8"/>
    <w:rsid w:val="00B567FF"/>
    <w:rsid w:val="00B569AA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8F0"/>
    <w:rsid w:val="00BE3921"/>
    <w:rsid w:val="00BE45E9"/>
    <w:rsid w:val="00BE732D"/>
    <w:rsid w:val="00BE764C"/>
    <w:rsid w:val="00BF479C"/>
    <w:rsid w:val="00BF5338"/>
    <w:rsid w:val="00BF6ED2"/>
    <w:rsid w:val="00C015D9"/>
    <w:rsid w:val="00C14F51"/>
    <w:rsid w:val="00C2519C"/>
    <w:rsid w:val="00C305D7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3715"/>
    <w:rsid w:val="00CA55F8"/>
    <w:rsid w:val="00CB23C4"/>
    <w:rsid w:val="00CB7613"/>
    <w:rsid w:val="00CC5C00"/>
    <w:rsid w:val="00CC727A"/>
    <w:rsid w:val="00CD2D1E"/>
    <w:rsid w:val="00CD58AE"/>
    <w:rsid w:val="00CD7E06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2385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6356F"/>
    <w:rsid w:val="00D70EA5"/>
    <w:rsid w:val="00D76FAE"/>
    <w:rsid w:val="00D81FB2"/>
    <w:rsid w:val="00D87066"/>
    <w:rsid w:val="00D93056"/>
    <w:rsid w:val="00D9579F"/>
    <w:rsid w:val="00DA2444"/>
    <w:rsid w:val="00DA3312"/>
    <w:rsid w:val="00DA5EED"/>
    <w:rsid w:val="00DB0091"/>
    <w:rsid w:val="00DC73C5"/>
    <w:rsid w:val="00DD4E5E"/>
    <w:rsid w:val="00DE34BA"/>
    <w:rsid w:val="00DE3D9E"/>
    <w:rsid w:val="00DE4427"/>
    <w:rsid w:val="00DE6033"/>
    <w:rsid w:val="00DF0BBC"/>
    <w:rsid w:val="00DF1580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30E8"/>
    <w:rsid w:val="00EA5629"/>
    <w:rsid w:val="00EA67C0"/>
    <w:rsid w:val="00EA775C"/>
    <w:rsid w:val="00EB04DF"/>
    <w:rsid w:val="00EB531B"/>
    <w:rsid w:val="00ED1D39"/>
    <w:rsid w:val="00ED283B"/>
    <w:rsid w:val="00ED2D0A"/>
    <w:rsid w:val="00ED3723"/>
    <w:rsid w:val="00ED459C"/>
    <w:rsid w:val="00EE0052"/>
    <w:rsid w:val="00EE2817"/>
    <w:rsid w:val="00EF36E6"/>
    <w:rsid w:val="00EF3DF4"/>
    <w:rsid w:val="00EF664E"/>
    <w:rsid w:val="00F00631"/>
    <w:rsid w:val="00F03D97"/>
    <w:rsid w:val="00F07810"/>
    <w:rsid w:val="00F121FE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5693D"/>
    <w:rsid w:val="00F620D8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D6F95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kow-rudzic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E9A9-0952-4431-B405-D563E80F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2019-01-31T09:29:00Z</cp:lastPrinted>
  <dcterms:created xsi:type="dcterms:W3CDTF">2019-03-06T14:56:00Z</dcterms:created>
  <dcterms:modified xsi:type="dcterms:W3CDTF">2019-03-06T14:56:00Z</dcterms:modified>
</cp:coreProperties>
</file>