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1F01" w:rsidRDefault="00DC1F01">
      <w:pPr>
        <w:ind w:left="360" w:hanging="360"/>
        <w:jc w:val="both"/>
        <w:rPr>
          <w:rFonts w:ascii="Arial" w:eastAsia="Arial" w:hAnsi="Arial"/>
          <w:sz w:val="22"/>
          <w:szCs w:val="22"/>
        </w:rPr>
      </w:pPr>
    </w:p>
    <w:p w:rsidR="00DC1F01" w:rsidRDefault="00E511DE">
      <w:pPr>
        <w:ind w:left="360" w:hanging="360"/>
        <w:jc w:val="both"/>
      </w:pPr>
      <w:r>
        <w:rPr>
          <w:rFonts w:ascii="Arial" w:eastAsia="Arial" w:hAnsi="Arial"/>
          <w:sz w:val="22"/>
          <w:szCs w:val="22"/>
        </w:rPr>
        <w:tab/>
      </w:r>
      <w:r>
        <w:rPr>
          <w:rFonts w:ascii="Arial" w:eastAsia="Arial" w:hAnsi="Arial"/>
          <w:sz w:val="22"/>
          <w:szCs w:val="22"/>
        </w:rPr>
        <w:tab/>
      </w:r>
      <w:r>
        <w:rPr>
          <w:rFonts w:ascii="Arial" w:eastAsia="Arial" w:hAnsi="Arial"/>
          <w:sz w:val="22"/>
          <w:szCs w:val="22"/>
        </w:rPr>
        <w:tab/>
      </w:r>
      <w:r>
        <w:rPr>
          <w:rFonts w:ascii="Arial" w:eastAsia="Arial" w:hAnsi="Arial"/>
          <w:sz w:val="22"/>
          <w:szCs w:val="22"/>
        </w:rPr>
        <w:tab/>
        <w:t xml:space="preserve"> </w:t>
      </w:r>
    </w:p>
    <w:p w:rsidR="00DC1F01" w:rsidRDefault="00E511DE">
      <w:pPr>
        <w:rPr>
          <w:rFonts w:ascii="Arial" w:eastAsia="Arial" w:hAnsi="Arial"/>
          <w:b/>
          <w:sz w:val="16"/>
          <w:szCs w:val="16"/>
        </w:rPr>
      </w:pPr>
      <w:r>
        <w:rPr>
          <w:rFonts w:ascii="Arial" w:eastAsia="Arial" w:hAnsi="Arial"/>
          <w:b/>
          <w:sz w:val="16"/>
          <w:szCs w:val="16"/>
        </w:rPr>
        <w:t>PKP Polskie Linie Kolejowe S.A.</w:t>
      </w:r>
    </w:p>
    <w:p w:rsidR="00DC1F01" w:rsidRDefault="00E511DE">
      <w:pPr>
        <w:rPr>
          <w:rFonts w:ascii="Arial" w:eastAsia="Arial" w:hAnsi="Arial"/>
          <w:b/>
          <w:sz w:val="16"/>
          <w:szCs w:val="16"/>
        </w:rPr>
      </w:pPr>
      <w:r>
        <w:rPr>
          <w:rFonts w:ascii="Arial" w:eastAsia="Arial" w:hAnsi="Arial"/>
          <w:b/>
          <w:sz w:val="16"/>
          <w:szCs w:val="16"/>
        </w:rPr>
        <w:t>Biuro Komunikacji i Promocji</w:t>
      </w:r>
    </w:p>
    <w:p w:rsidR="00DC1F01" w:rsidRDefault="00E511DE">
      <w:pPr>
        <w:rPr>
          <w:rFonts w:ascii="Arial" w:eastAsia="Arial" w:hAnsi="Arial"/>
          <w:sz w:val="16"/>
          <w:szCs w:val="16"/>
        </w:rPr>
      </w:pPr>
      <w:r>
        <w:rPr>
          <w:rFonts w:ascii="Arial" w:eastAsia="Arial" w:hAnsi="Arial"/>
          <w:sz w:val="16"/>
          <w:szCs w:val="16"/>
        </w:rPr>
        <w:t>Targowa 74, 03 - 734 Warszawa</w:t>
      </w:r>
    </w:p>
    <w:p w:rsidR="00DC1F01" w:rsidRPr="00201AFA" w:rsidRDefault="00E511DE">
      <w:pPr>
        <w:rPr>
          <w:rFonts w:ascii="Arial" w:eastAsia="Arial" w:hAnsi="Arial"/>
          <w:sz w:val="16"/>
          <w:szCs w:val="16"/>
          <w:lang w:val="en-AU"/>
        </w:rPr>
      </w:pPr>
      <w:r w:rsidRPr="00201AFA">
        <w:rPr>
          <w:rFonts w:ascii="Arial" w:eastAsia="Arial" w:hAnsi="Arial"/>
          <w:sz w:val="16"/>
          <w:szCs w:val="16"/>
          <w:lang w:val="en-AU"/>
        </w:rPr>
        <w:t>tel. + 48 22 473 30 02</w:t>
      </w:r>
    </w:p>
    <w:p w:rsidR="00DC1F01" w:rsidRPr="00201AFA" w:rsidRDefault="00E511DE">
      <w:pPr>
        <w:rPr>
          <w:rFonts w:ascii="Arial" w:eastAsia="Arial" w:hAnsi="Arial"/>
          <w:sz w:val="16"/>
          <w:szCs w:val="16"/>
          <w:lang w:val="en-AU"/>
        </w:rPr>
      </w:pPr>
      <w:proofErr w:type="gramStart"/>
      <w:r w:rsidRPr="00201AFA">
        <w:rPr>
          <w:rFonts w:ascii="Arial" w:eastAsia="Arial" w:hAnsi="Arial"/>
          <w:sz w:val="16"/>
          <w:szCs w:val="16"/>
          <w:lang w:val="en-AU"/>
        </w:rPr>
        <w:t>fax</w:t>
      </w:r>
      <w:proofErr w:type="gramEnd"/>
      <w:r w:rsidRPr="00201AFA">
        <w:rPr>
          <w:rFonts w:ascii="Arial" w:eastAsia="Arial" w:hAnsi="Arial"/>
          <w:sz w:val="16"/>
          <w:szCs w:val="16"/>
          <w:lang w:val="en-AU"/>
        </w:rPr>
        <w:t xml:space="preserve"> + 48 22 473 23 34</w:t>
      </w:r>
    </w:p>
    <w:p w:rsidR="00DC1F01" w:rsidRPr="00201AFA" w:rsidRDefault="00E511DE">
      <w:pPr>
        <w:rPr>
          <w:rFonts w:ascii="Arial" w:eastAsia="Arial" w:hAnsi="Arial"/>
          <w:sz w:val="16"/>
          <w:szCs w:val="16"/>
          <w:lang w:val="en-AU"/>
        </w:rPr>
      </w:pPr>
      <w:r w:rsidRPr="00201AFA">
        <w:rPr>
          <w:rFonts w:ascii="Arial" w:eastAsia="Arial" w:hAnsi="Arial"/>
          <w:sz w:val="16"/>
          <w:szCs w:val="16"/>
          <w:lang w:val="en-AU"/>
        </w:rPr>
        <w:t>rzecznik@plk-sa.pl</w:t>
      </w:r>
    </w:p>
    <w:p w:rsidR="00DC1F01" w:rsidRDefault="007C751F">
      <w:pPr>
        <w:rPr>
          <w:rFonts w:ascii="Arial" w:eastAsia="Arial" w:hAnsi="Arial"/>
          <w:sz w:val="16"/>
          <w:szCs w:val="16"/>
        </w:rPr>
      </w:pPr>
      <w:hyperlink r:id="rId7">
        <w:r w:rsidR="00E511DE">
          <w:rPr>
            <w:rStyle w:val="Hipercze"/>
            <w:rFonts w:ascii="Arial" w:eastAsia="Arial" w:hAnsi="Arial"/>
            <w:sz w:val="16"/>
            <w:szCs w:val="16"/>
          </w:rPr>
          <w:t>www.plk-sa.pl</w:t>
        </w:r>
      </w:hyperlink>
    </w:p>
    <w:p w:rsidR="00DC1F01" w:rsidRDefault="00DC1F01">
      <w:pPr>
        <w:rPr>
          <w:rFonts w:ascii="Arial" w:eastAsia="Arial" w:hAnsi="Arial"/>
          <w:sz w:val="16"/>
          <w:szCs w:val="16"/>
        </w:rPr>
      </w:pPr>
    </w:p>
    <w:p w:rsidR="00DC1F01" w:rsidRDefault="00201AFA">
      <w:pPr>
        <w:spacing w:line="360" w:lineRule="auto"/>
        <w:jc w:val="right"/>
        <w:rPr>
          <w:rFonts w:ascii="Arial" w:eastAsia="Arial" w:hAnsi="Arial"/>
          <w:sz w:val="22"/>
          <w:szCs w:val="22"/>
        </w:rPr>
      </w:pPr>
      <w:r>
        <w:rPr>
          <w:rFonts w:ascii="Arial" w:eastAsia="Arial" w:hAnsi="Arial"/>
          <w:sz w:val="22"/>
          <w:szCs w:val="22"/>
        </w:rPr>
        <w:t>Warszawa</w:t>
      </w:r>
      <w:r w:rsidR="00CA1F70">
        <w:rPr>
          <w:rFonts w:ascii="Arial" w:eastAsia="Arial" w:hAnsi="Arial"/>
          <w:sz w:val="22"/>
          <w:szCs w:val="22"/>
        </w:rPr>
        <w:t xml:space="preserve">, </w:t>
      </w:r>
      <w:r>
        <w:rPr>
          <w:rFonts w:ascii="Arial" w:eastAsia="Arial" w:hAnsi="Arial"/>
          <w:sz w:val="22"/>
          <w:szCs w:val="22"/>
        </w:rPr>
        <w:t>28</w:t>
      </w:r>
      <w:r w:rsidR="00CA1F70">
        <w:rPr>
          <w:rFonts w:ascii="Arial" w:eastAsia="Arial" w:hAnsi="Arial"/>
          <w:sz w:val="22"/>
          <w:szCs w:val="22"/>
        </w:rPr>
        <w:t xml:space="preserve"> </w:t>
      </w:r>
      <w:r w:rsidR="00E511DE">
        <w:rPr>
          <w:rFonts w:ascii="Arial" w:eastAsia="Arial" w:hAnsi="Arial"/>
          <w:sz w:val="22"/>
          <w:szCs w:val="22"/>
        </w:rPr>
        <w:t xml:space="preserve">czerwca 2019 r. </w:t>
      </w:r>
    </w:p>
    <w:p w:rsidR="00201AFA" w:rsidRDefault="00201AFA">
      <w:pPr>
        <w:spacing w:line="360" w:lineRule="auto"/>
        <w:jc w:val="both"/>
        <w:rPr>
          <w:rFonts w:ascii="Arial" w:eastAsia="Arial" w:hAnsi="Arial"/>
          <w:b/>
          <w:sz w:val="22"/>
          <w:szCs w:val="22"/>
        </w:rPr>
      </w:pPr>
    </w:p>
    <w:p w:rsidR="00DC1F01" w:rsidRPr="00201AFA" w:rsidRDefault="00E511DE">
      <w:pPr>
        <w:spacing w:line="360" w:lineRule="auto"/>
        <w:jc w:val="both"/>
        <w:rPr>
          <w:rFonts w:ascii="Arial" w:eastAsia="Arial" w:hAnsi="Arial"/>
          <w:b/>
          <w:sz w:val="22"/>
          <w:szCs w:val="22"/>
        </w:rPr>
      </w:pPr>
      <w:r w:rsidRPr="00201AFA">
        <w:rPr>
          <w:rFonts w:ascii="Arial" w:eastAsia="Arial" w:hAnsi="Arial"/>
          <w:b/>
          <w:sz w:val="22"/>
          <w:szCs w:val="22"/>
        </w:rPr>
        <w:t>Informacja prasowa</w:t>
      </w:r>
    </w:p>
    <w:p w:rsidR="00201AFA" w:rsidRPr="00201AFA" w:rsidRDefault="00201AFA" w:rsidP="00201AFA">
      <w:pPr>
        <w:spacing w:line="360" w:lineRule="auto"/>
        <w:jc w:val="both"/>
        <w:rPr>
          <w:rFonts w:ascii="Arial" w:hAnsi="Arial" w:cs="Arial"/>
          <w:b/>
          <w:sz w:val="22"/>
          <w:szCs w:val="22"/>
        </w:rPr>
      </w:pPr>
      <w:r w:rsidRPr="00201AFA">
        <w:rPr>
          <w:rFonts w:ascii="Arial" w:hAnsi="Arial" w:cs="Arial"/>
          <w:b/>
          <w:sz w:val="22"/>
          <w:szCs w:val="22"/>
        </w:rPr>
        <w:t>Rośnie kolejowy przystanek Warszawa Powązki</w:t>
      </w:r>
    </w:p>
    <w:p w:rsidR="00201AFA" w:rsidRDefault="00201AFA" w:rsidP="00201AFA">
      <w:pPr>
        <w:spacing w:line="360" w:lineRule="auto"/>
        <w:jc w:val="both"/>
        <w:rPr>
          <w:rFonts w:ascii="Arial" w:hAnsi="Arial" w:cs="Arial"/>
          <w:b/>
          <w:sz w:val="22"/>
          <w:szCs w:val="22"/>
        </w:rPr>
      </w:pPr>
    </w:p>
    <w:p w:rsidR="00201AFA" w:rsidRPr="00201AFA" w:rsidRDefault="00201AFA" w:rsidP="00201AFA">
      <w:pPr>
        <w:spacing w:line="360" w:lineRule="auto"/>
        <w:jc w:val="both"/>
        <w:rPr>
          <w:rFonts w:ascii="Arial" w:hAnsi="Arial" w:cs="Arial"/>
          <w:b/>
          <w:sz w:val="22"/>
          <w:szCs w:val="22"/>
        </w:rPr>
      </w:pPr>
      <w:r w:rsidRPr="00201AFA">
        <w:rPr>
          <w:rFonts w:ascii="Arial" w:hAnsi="Arial" w:cs="Arial"/>
          <w:b/>
          <w:sz w:val="22"/>
          <w:szCs w:val="22"/>
        </w:rPr>
        <w:t xml:space="preserve">Niebawem pasażerowie skorzystają z kolejnego nowego przystanku na linii obwodowej. Warszawa Powązki umożliwi lepsze dojazdy do pracy i do szkoły w aglomeracji. </w:t>
      </w:r>
      <w:r>
        <w:rPr>
          <w:rFonts w:ascii="Arial" w:hAnsi="Arial" w:cs="Arial"/>
          <w:b/>
          <w:sz w:val="22"/>
          <w:szCs w:val="22"/>
        </w:rPr>
        <w:br/>
      </w:r>
      <w:r w:rsidRPr="00201AFA">
        <w:rPr>
          <w:rFonts w:ascii="Arial" w:hAnsi="Arial" w:cs="Arial"/>
          <w:b/>
          <w:sz w:val="22"/>
          <w:szCs w:val="22"/>
        </w:rPr>
        <w:t xml:space="preserve">Nowa kładka połączy i lepiej skomunikuje dwie dzielnice: Wolę i Żoliborz. Wykonawca utrzymuje dobre tempo robót. Widoczna jest już jedna strona peronu i filary pod zejścia i windy. </w:t>
      </w:r>
    </w:p>
    <w:p w:rsidR="00201AFA" w:rsidRPr="00201AFA" w:rsidRDefault="00201AFA" w:rsidP="00201AFA">
      <w:pPr>
        <w:spacing w:line="360" w:lineRule="auto"/>
        <w:jc w:val="both"/>
        <w:rPr>
          <w:rFonts w:ascii="Arial" w:hAnsi="Arial" w:cs="Arial"/>
          <w:sz w:val="22"/>
          <w:szCs w:val="22"/>
          <w:shd w:val="clear" w:color="auto" w:fill="FFFFFF"/>
        </w:rPr>
      </w:pPr>
      <w:r w:rsidRPr="00201AFA">
        <w:rPr>
          <w:rFonts w:ascii="Arial" w:hAnsi="Arial" w:cs="Arial"/>
          <w:sz w:val="22"/>
          <w:szCs w:val="22"/>
          <w:shd w:val="clear" w:color="auto" w:fill="FFFFFF"/>
        </w:rPr>
        <w:t xml:space="preserve">Dwa nowe perony przystanku Warszawa Powązki będą podobne do tych, z których od października zeszłego roku korzystają pasażerowie linii obwodowej Warszawa Gdańska – Warszawa Zachodnia. Platformy będą miały długość 200 metrów i wysokość 76 cm, </w:t>
      </w:r>
      <w:r>
        <w:rPr>
          <w:rFonts w:ascii="Arial" w:hAnsi="Arial" w:cs="Arial"/>
          <w:sz w:val="22"/>
          <w:szCs w:val="22"/>
          <w:shd w:val="clear" w:color="auto" w:fill="FFFFFF"/>
        </w:rPr>
        <w:br/>
      </w:r>
      <w:r w:rsidRPr="00201AFA">
        <w:rPr>
          <w:rFonts w:ascii="Arial" w:hAnsi="Arial" w:cs="Arial"/>
          <w:sz w:val="22"/>
          <w:szCs w:val="22"/>
          <w:shd w:val="clear" w:color="auto" w:fill="FFFFFF"/>
        </w:rPr>
        <w:t xml:space="preserve">co umożliwi wygodne wsiadanie i wysiadanie z pociągów. Na każdym peronie wybudowane zostaną dwie długie funkcjonalne wiaty, które przykryją około 70% powierzchni dostępnej </w:t>
      </w:r>
      <w:r>
        <w:rPr>
          <w:rFonts w:ascii="Arial" w:hAnsi="Arial" w:cs="Arial"/>
          <w:sz w:val="22"/>
          <w:szCs w:val="22"/>
          <w:shd w:val="clear" w:color="auto" w:fill="FFFFFF"/>
        </w:rPr>
        <w:br/>
      </w:r>
      <w:r w:rsidRPr="00201AFA">
        <w:rPr>
          <w:rFonts w:ascii="Arial" w:hAnsi="Arial" w:cs="Arial"/>
          <w:sz w:val="22"/>
          <w:szCs w:val="22"/>
          <w:shd w:val="clear" w:color="auto" w:fill="FFFFFF"/>
        </w:rPr>
        <w:t xml:space="preserve">dla podróżnych. Oświetlenie </w:t>
      </w:r>
      <w:proofErr w:type="spellStart"/>
      <w:r w:rsidRPr="00201AFA">
        <w:rPr>
          <w:rFonts w:ascii="Arial" w:hAnsi="Arial" w:cs="Arial"/>
          <w:sz w:val="22"/>
          <w:szCs w:val="22"/>
          <w:shd w:val="clear" w:color="auto" w:fill="FFFFFF"/>
        </w:rPr>
        <w:t>ledowe</w:t>
      </w:r>
      <w:proofErr w:type="spellEnd"/>
      <w:r w:rsidRPr="00201AFA">
        <w:rPr>
          <w:rFonts w:ascii="Arial" w:hAnsi="Arial" w:cs="Arial"/>
          <w:sz w:val="22"/>
          <w:szCs w:val="22"/>
          <w:shd w:val="clear" w:color="auto" w:fill="FFFFFF"/>
        </w:rPr>
        <w:t xml:space="preserve"> zapewni dobrą widoczność po zmroku. O odjazdach </w:t>
      </w:r>
      <w:r>
        <w:rPr>
          <w:rFonts w:ascii="Arial" w:hAnsi="Arial" w:cs="Arial"/>
          <w:sz w:val="22"/>
          <w:szCs w:val="22"/>
          <w:shd w:val="clear" w:color="auto" w:fill="FFFFFF"/>
        </w:rPr>
        <w:br/>
      </w:r>
      <w:r w:rsidRPr="00201AFA">
        <w:rPr>
          <w:rFonts w:ascii="Arial" w:hAnsi="Arial" w:cs="Arial"/>
          <w:sz w:val="22"/>
          <w:szCs w:val="22"/>
          <w:shd w:val="clear" w:color="auto" w:fill="FFFFFF"/>
        </w:rPr>
        <w:t xml:space="preserve">i przyjazdach pociągów pasażerowie dowiedzą się z systemu dynamicznej informacji pasażerskiej. Będą tablice, </w:t>
      </w:r>
      <w:proofErr w:type="spellStart"/>
      <w:r w:rsidRPr="00201AFA">
        <w:rPr>
          <w:rFonts w:ascii="Arial" w:hAnsi="Arial" w:cs="Arial"/>
          <w:sz w:val="22"/>
          <w:szCs w:val="22"/>
          <w:shd w:val="clear" w:color="auto" w:fill="FFFFFF"/>
        </w:rPr>
        <w:t>infokioski</w:t>
      </w:r>
      <w:proofErr w:type="spellEnd"/>
      <w:r w:rsidRPr="00201AFA">
        <w:rPr>
          <w:rFonts w:ascii="Arial" w:hAnsi="Arial" w:cs="Arial"/>
          <w:sz w:val="22"/>
          <w:szCs w:val="22"/>
          <w:shd w:val="clear" w:color="auto" w:fill="FFFFFF"/>
        </w:rPr>
        <w:t xml:space="preserve"> oraz </w:t>
      </w:r>
      <w:proofErr w:type="gramStart"/>
      <w:r w:rsidRPr="00201AFA">
        <w:rPr>
          <w:rFonts w:ascii="Arial" w:hAnsi="Arial" w:cs="Arial"/>
          <w:sz w:val="22"/>
          <w:szCs w:val="22"/>
          <w:shd w:val="clear" w:color="auto" w:fill="FFFFFF"/>
        </w:rPr>
        <w:t>gabloty</w:t>
      </w:r>
      <w:proofErr w:type="gramEnd"/>
      <w:r w:rsidRPr="00201AFA">
        <w:rPr>
          <w:rFonts w:ascii="Arial" w:hAnsi="Arial" w:cs="Arial"/>
          <w:sz w:val="22"/>
          <w:szCs w:val="22"/>
          <w:shd w:val="clear" w:color="auto" w:fill="FFFFFF"/>
        </w:rPr>
        <w:t xml:space="preserve"> informacyjne. Ustawione zostaną ławki </w:t>
      </w:r>
      <w:r>
        <w:rPr>
          <w:rFonts w:ascii="Arial" w:hAnsi="Arial" w:cs="Arial"/>
          <w:sz w:val="22"/>
          <w:szCs w:val="22"/>
          <w:shd w:val="clear" w:color="auto" w:fill="FFFFFF"/>
        </w:rPr>
        <w:br/>
      </w:r>
      <w:r w:rsidRPr="00201AFA">
        <w:rPr>
          <w:rFonts w:ascii="Arial" w:hAnsi="Arial" w:cs="Arial"/>
          <w:sz w:val="22"/>
          <w:szCs w:val="22"/>
          <w:shd w:val="clear" w:color="auto" w:fill="FFFFFF"/>
        </w:rPr>
        <w:t>i miejsca odpoczynku na stojąco.</w:t>
      </w:r>
    </w:p>
    <w:p w:rsidR="00201AFA" w:rsidRPr="00201AFA" w:rsidRDefault="00201AFA" w:rsidP="00201AFA">
      <w:pPr>
        <w:spacing w:line="360" w:lineRule="auto"/>
        <w:jc w:val="both"/>
        <w:rPr>
          <w:rFonts w:ascii="Arial" w:hAnsi="Arial" w:cs="Arial"/>
          <w:sz w:val="22"/>
          <w:szCs w:val="22"/>
        </w:rPr>
      </w:pPr>
      <w:r w:rsidRPr="00201AFA">
        <w:rPr>
          <w:rFonts w:ascii="Arial" w:hAnsi="Arial" w:cs="Arial"/>
          <w:sz w:val="22"/>
          <w:szCs w:val="22"/>
        </w:rPr>
        <w:t xml:space="preserve">Do tej pory wykonawca wzmocnił teren i wykonał odwodnienie. Ułożone zostały ścianki, tzw. „elki”. Widoczna jest już jedna krawędź nowego peronu. Budowane są fundamenty pod nową kładkę. Montowane są filary, które będą oparciem dla przejścia oraz schodów na peron. </w:t>
      </w:r>
      <w:r>
        <w:rPr>
          <w:rFonts w:ascii="Arial" w:hAnsi="Arial" w:cs="Arial"/>
          <w:sz w:val="22"/>
          <w:szCs w:val="22"/>
        </w:rPr>
        <w:br/>
      </w:r>
      <w:r w:rsidRPr="00201AFA">
        <w:rPr>
          <w:rFonts w:ascii="Arial" w:hAnsi="Arial" w:cs="Arial"/>
          <w:sz w:val="22"/>
          <w:szCs w:val="22"/>
        </w:rPr>
        <w:t>Na miejscu wykorzystywany jest ciężki sprzęt: betoniarki, koparki i dźwigi. Prace wykonywane są obok przejeżdżających pociągów.</w:t>
      </w:r>
    </w:p>
    <w:p w:rsidR="00201AFA" w:rsidRPr="00201AFA" w:rsidRDefault="00201AFA" w:rsidP="00201AFA">
      <w:pPr>
        <w:spacing w:line="360" w:lineRule="auto"/>
        <w:jc w:val="both"/>
        <w:rPr>
          <w:rFonts w:ascii="Arial" w:hAnsi="Arial" w:cs="Arial"/>
          <w:sz w:val="22"/>
          <w:szCs w:val="22"/>
        </w:rPr>
      </w:pPr>
      <w:r w:rsidRPr="00201AFA">
        <w:rPr>
          <w:rFonts w:ascii="Arial" w:hAnsi="Arial" w:cs="Arial"/>
          <w:sz w:val="22"/>
          <w:szCs w:val="22"/>
        </w:rPr>
        <w:t xml:space="preserve">Jeszcze w tym roku PKP Polskie Linie Kolejowe S.A. </w:t>
      </w:r>
      <w:proofErr w:type="gramStart"/>
      <w:r w:rsidRPr="00201AFA">
        <w:rPr>
          <w:rFonts w:ascii="Arial" w:hAnsi="Arial" w:cs="Arial"/>
          <w:sz w:val="22"/>
          <w:szCs w:val="22"/>
        </w:rPr>
        <w:t>planują</w:t>
      </w:r>
      <w:proofErr w:type="gramEnd"/>
      <w:r w:rsidRPr="00201AFA">
        <w:rPr>
          <w:rFonts w:ascii="Arial" w:hAnsi="Arial" w:cs="Arial"/>
          <w:sz w:val="22"/>
          <w:szCs w:val="22"/>
        </w:rPr>
        <w:t xml:space="preserve"> umożliwić pasażerom korzystanie z nowego przystanku. Warszawa Powązki to odpowiedź kolejarzy na rosnące potrzeby komunikacyjne w stolicy. Dodatkowo, wybudowana zostanie kładka, która nie tylko zapewni wygodne i bezpieczne dojście na perony, ale także ułatwi komunikację między Wolą a Żoliborzem. </w:t>
      </w:r>
    </w:p>
    <w:p w:rsidR="00201AFA" w:rsidRDefault="00201AFA" w:rsidP="00201AFA">
      <w:pPr>
        <w:spacing w:line="360" w:lineRule="auto"/>
        <w:jc w:val="both"/>
        <w:rPr>
          <w:rFonts w:ascii="Arial" w:hAnsi="Arial" w:cs="Arial"/>
          <w:sz w:val="22"/>
          <w:szCs w:val="22"/>
          <w:shd w:val="clear" w:color="auto" w:fill="FFFFFF"/>
        </w:rPr>
      </w:pPr>
    </w:p>
    <w:p w:rsidR="00201AFA" w:rsidRDefault="00201AFA" w:rsidP="00201AFA">
      <w:pPr>
        <w:spacing w:line="360" w:lineRule="auto"/>
        <w:jc w:val="both"/>
        <w:rPr>
          <w:rFonts w:ascii="Arial" w:hAnsi="Arial" w:cs="Arial"/>
          <w:sz w:val="22"/>
          <w:szCs w:val="22"/>
          <w:shd w:val="clear" w:color="auto" w:fill="FFFFFF"/>
        </w:rPr>
      </w:pPr>
    </w:p>
    <w:p w:rsidR="00201AFA" w:rsidRDefault="00201AFA" w:rsidP="00201AFA">
      <w:pPr>
        <w:spacing w:line="360" w:lineRule="auto"/>
        <w:jc w:val="both"/>
        <w:rPr>
          <w:rFonts w:ascii="Arial" w:hAnsi="Arial" w:cs="Arial"/>
          <w:sz w:val="22"/>
          <w:szCs w:val="22"/>
          <w:shd w:val="clear" w:color="auto" w:fill="FFFFFF"/>
        </w:rPr>
      </w:pPr>
    </w:p>
    <w:p w:rsidR="00201AFA" w:rsidRPr="00201AFA" w:rsidRDefault="00201AFA" w:rsidP="00201AFA">
      <w:pPr>
        <w:spacing w:line="360" w:lineRule="auto"/>
        <w:jc w:val="both"/>
        <w:rPr>
          <w:rFonts w:ascii="Arial" w:hAnsi="Arial" w:cs="Arial"/>
          <w:sz w:val="22"/>
          <w:szCs w:val="22"/>
        </w:rPr>
      </w:pPr>
      <w:bookmarkStart w:id="0" w:name="_GoBack"/>
      <w:bookmarkEnd w:id="0"/>
      <w:r w:rsidRPr="00201AFA">
        <w:rPr>
          <w:rFonts w:ascii="Arial" w:hAnsi="Arial" w:cs="Arial"/>
          <w:sz w:val="22"/>
          <w:szCs w:val="22"/>
          <w:shd w:val="clear" w:color="auto" w:fill="FFFFFF"/>
        </w:rPr>
        <w:t>Przystanek Warszawa Powązki jest budowany w ramach projektu „Prace na linii obwodowej w Warszawie (odc. Warszawa Gołąbki/Warszawa Zachodnia – Warszawa Gdańska</w:t>
      </w:r>
      <w:proofErr w:type="gramStart"/>
      <w:r w:rsidRPr="00201AFA">
        <w:rPr>
          <w:rFonts w:ascii="Arial" w:hAnsi="Arial" w:cs="Arial"/>
          <w:sz w:val="22"/>
          <w:szCs w:val="22"/>
          <w:shd w:val="clear" w:color="auto" w:fill="FFFFFF"/>
        </w:rPr>
        <w:t>)”, który</w:t>
      </w:r>
      <w:proofErr w:type="gramEnd"/>
      <w:r w:rsidRPr="00201AFA">
        <w:rPr>
          <w:rFonts w:ascii="Arial" w:hAnsi="Arial" w:cs="Arial"/>
          <w:sz w:val="22"/>
          <w:szCs w:val="22"/>
          <w:shd w:val="clear" w:color="auto" w:fill="FFFFFF"/>
        </w:rPr>
        <w:t xml:space="preserve"> współfinansowany jest z mechanizmu CEF – Łącząc Europę. Wartość umowy, dotyczącej bieżącej realizacji projektu wynosi 208 mln zł brutto. Dofinansowanie z UE wynosi 85%.</w:t>
      </w:r>
    </w:p>
    <w:p w:rsidR="00201AFA" w:rsidRDefault="00201AFA">
      <w:pPr>
        <w:spacing w:line="360" w:lineRule="auto"/>
        <w:jc w:val="both"/>
        <w:rPr>
          <w:rFonts w:ascii="Arial" w:eastAsia="Arial" w:hAnsi="Arial"/>
          <w:b/>
          <w:sz w:val="22"/>
          <w:szCs w:val="22"/>
        </w:rPr>
      </w:pPr>
    </w:p>
    <w:p w:rsidR="00DC1F01" w:rsidRDefault="00DC1F01">
      <w:pPr>
        <w:spacing w:line="360" w:lineRule="auto"/>
        <w:jc w:val="both"/>
        <w:rPr>
          <w:rFonts w:ascii="Arial" w:eastAsia="Arial" w:hAnsi="Arial"/>
          <w:sz w:val="22"/>
          <w:szCs w:val="22"/>
        </w:rPr>
      </w:pPr>
    </w:p>
    <w:p w:rsidR="00DC1F01" w:rsidRDefault="00E511DE">
      <w:pPr>
        <w:spacing w:after="120"/>
        <w:jc w:val="right"/>
        <w:rPr>
          <w:rFonts w:ascii="Arial" w:eastAsia="Arial" w:hAnsi="Arial"/>
          <w:b/>
          <w:sz w:val="20"/>
          <w:szCs w:val="20"/>
        </w:rPr>
      </w:pPr>
      <w:r>
        <w:rPr>
          <w:noProof/>
          <w:sz w:val="20"/>
        </w:rPr>
        <w:drawing>
          <wp:inline distT="0" distB="0" distL="0" distR="0">
            <wp:extent cx="5760720" cy="1209040"/>
            <wp:effectExtent l="0" t="0" r="0" b="0"/>
            <wp:docPr id="11"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ata/user/0/com.airwatch.contentlocker/files/PicselSecureEdit/awPolarisTmp/image1.jpeg"/>
                    <pic:cNvPicPr>
                      <a:picLocks noChangeAspect="1" noChangeArrowheads="1"/>
                    </pic:cNvPicPr>
                  </pic:nvPicPr>
                  <pic:blipFill>
                    <a:blip r:embed="rId8" cstate="print"/>
                    <a:srcRect/>
                    <a:stretch>
                      <a:fillRect/>
                    </a:stretch>
                  </pic:blipFill>
                  <pic:spPr>
                    <a:xfrm>
                      <a:off x="0" y="0"/>
                      <a:ext cx="5761355" cy="1209675"/>
                    </a:xfrm>
                    <a:prstGeom prst="rect">
                      <a:avLst/>
                    </a:prstGeom>
                    <a:noFill/>
                    <a:ln w="9525" cap="flat">
                      <a:noFill/>
                    </a:ln>
                  </pic:spPr>
                </pic:pic>
              </a:graphicData>
            </a:graphic>
          </wp:inline>
        </w:drawing>
      </w:r>
    </w:p>
    <w:p w:rsidR="00DC1F01" w:rsidRDefault="00E511DE">
      <w:pPr>
        <w:spacing w:after="120"/>
        <w:ind w:left="6372" w:firstLine="708"/>
        <w:rPr>
          <w:rFonts w:ascii="Arial" w:eastAsia="Arial" w:hAnsi="Arial"/>
          <w:b/>
          <w:sz w:val="20"/>
          <w:szCs w:val="20"/>
        </w:rPr>
      </w:pPr>
      <w:r>
        <w:rPr>
          <w:rFonts w:ascii="Arial" w:eastAsia="Arial" w:hAnsi="Arial"/>
          <w:b/>
          <w:sz w:val="20"/>
          <w:szCs w:val="20"/>
        </w:rPr>
        <w:t>Kontakt dla mediów:</w:t>
      </w:r>
    </w:p>
    <w:p w:rsidR="00201AFA" w:rsidRDefault="00201AFA">
      <w:pPr>
        <w:contextualSpacing/>
        <w:jc w:val="right"/>
        <w:rPr>
          <w:rFonts w:ascii="Arial" w:eastAsia="Arial" w:hAnsi="Arial"/>
          <w:b/>
          <w:sz w:val="20"/>
          <w:szCs w:val="20"/>
        </w:rPr>
      </w:pPr>
      <w:r>
        <w:rPr>
          <w:rFonts w:ascii="Arial" w:eastAsia="Arial" w:hAnsi="Arial"/>
          <w:b/>
          <w:sz w:val="20"/>
          <w:szCs w:val="20"/>
        </w:rPr>
        <w:t>Karol Jakubowski</w:t>
      </w:r>
    </w:p>
    <w:p w:rsidR="00DC1F01" w:rsidRDefault="00E511DE">
      <w:pPr>
        <w:contextualSpacing/>
        <w:jc w:val="right"/>
        <w:rPr>
          <w:rFonts w:ascii="Arial" w:eastAsia="Arial" w:hAnsi="Arial"/>
          <w:sz w:val="20"/>
          <w:szCs w:val="20"/>
        </w:rPr>
      </w:pPr>
      <w:r>
        <w:rPr>
          <w:rFonts w:ascii="Arial" w:eastAsia="Arial" w:hAnsi="Arial"/>
          <w:sz w:val="20"/>
          <w:szCs w:val="20"/>
        </w:rPr>
        <w:t xml:space="preserve">Zespół prasowy </w:t>
      </w:r>
    </w:p>
    <w:p w:rsidR="00DC1F01" w:rsidRDefault="00E511DE">
      <w:pPr>
        <w:contextualSpacing/>
        <w:jc w:val="right"/>
        <w:rPr>
          <w:rFonts w:ascii="Arial" w:eastAsia="Arial" w:hAnsi="Arial"/>
          <w:sz w:val="20"/>
          <w:szCs w:val="20"/>
        </w:rPr>
      </w:pPr>
      <w:r>
        <w:rPr>
          <w:rFonts w:ascii="Arial" w:eastAsia="Arial" w:hAnsi="Arial"/>
          <w:sz w:val="20"/>
          <w:szCs w:val="20"/>
        </w:rPr>
        <w:t>PKP Polskie Linie Kolejowe S.A.</w:t>
      </w:r>
    </w:p>
    <w:p w:rsidR="00DC1F01" w:rsidRPr="00201AFA" w:rsidRDefault="00E511DE">
      <w:pPr>
        <w:contextualSpacing/>
        <w:jc w:val="right"/>
        <w:rPr>
          <w:rFonts w:ascii="Arial" w:eastAsia="Arial" w:hAnsi="Arial"/>
          <w:sz w:val="20"/>
          <w:szCs w:val="20"/>
          <w:lang w:val="en-AU"/>
        </w:rPr>
      </w:pPr>
      <w:r w:rsidRPr="00201AFA">
        <w:rPr>
          <w:rFonts w:ascii="Arial" w:eastAsia="Arial" w:hAnsi="Arial"/>
          <w:sz w:val="20"/>
          <w:szCs w:val="20"/>
          <w:lang w:val="en-AU"/>
        </w:rPr>
        <w:t xml:space="preserve">rzecznik@plk-sa.pl </w:t>
      </w:r>
    </w:p>
    <w:p w:rsidR="00F260F8" w:rsidRPr="00201AFA" w:rsidRDefault="00E511DE" w:rsidP="00866784">
      <w:pPr>
        <w:contextualSpacing/>
        <w:jc w:val="right"/>
        <w:rPr>
          <w:rFonts w:ascii="Arial" w:eastAsia="Arial" w:hAnsi="Arial"/>
          <w:sz w:val="20"/>
          <w:szCs w:val="20"/>
          <w:lang w:val="en-AU"/>
        </w:rPr>
      </w:pPr>
      <w:r w:rsidRPr="00201AFA">
        <w:rPr>
          <w:rFonts w:ascii="Arial" w:eastAsia="Arial" w:hAnsi="Arial"/>
          <w:sz w:val="20"/>
          <w:szCs w:val="20"/>
          <w:lang w:val="en-AU"/>
        </w:rPr>
        <w:t>T: + 48</w:t>
      </w:r>
      <w:r w:rsidR="00201AFA">
        <w:rPr>
          <w:rFonts w:ascii="Arial" w:eastAsia="Arial" w:hAnsi="Arial"/>
          <w:sz w:val="20"/>
          <w:szCs w:val="20"/>
          <w:lang w:val="en-AU"/>
        </w:rPr>
        <w:t> 662 679 414</w:t>
      </w:r>
    </w:p>
    <w:p w:rsidR="00DC1F01" w:rsidRPr="00201AFA" w:rsidRDefault="00DC1F01">
      <w:pPr>
        <w:spacing w:line="360" w:lineRule="auto"/>
        <w:contextualSpacing/>
        <w:rPr>
          <w:rFonts w:ascii="Arial" w:eastAsia="Arial" w:hAnsi="Arial"/>
          <w:sz w:val="20"/>
          <w:szCs w:val="20"/>
          <w:lang w:val="en-AU"/>
        </w:rPr>
      </w:pPr>
    </w:p>
    <w:p w:rsidR="00DC1F01" w:rsidRDefault="00E511DE">
      <w:pPr>
        <w:jc w:val="center"/>
        <w:rPr>
          <w:rFonts w:ascii="Arial" w:eastAsia="Arial" w:hAnsi="Arial"/>
          <w:i/>
          <w:sz w:val="18"/>
          <w:szCs w:val="18"/>
        </w:rPr>
      </w:pPr>
      <w:r>
        <w:rPr>
          <w:rFonts w:ascii="Arial" w:eastAsia="Arial" w:hAnsi="Arial"/>
          <w:b/>
          <w:sz w:val="20"/>
          <w:szCs w:val="20"/>
        </w:rPr>
        <w:t>„Wyłączną odpowiedzialność za treść publikacji ponosi jej autor. Unia Europejska nie odpowiada za ewentualne wykorzystanie informacji zawartych w takiej publikacji”.</w:t>
      </w:r>
    </w:p>
    <w:sectPr w:rsidR="00DC1F01">
      <w:headerReference w:type="default" r:id="rId9"/>
      <w:footerReference w:type="default" r:id="rId10"/>
      <w:pgSz w:w="11906" w:h="16838"/>
      <w:pgMar w:top="1530" w:right="1417" w:bottom="1417" w:left="1417" w:header="708" w:footer="708" w:gutter="0"/>
      <w:cols w:space="708"/>
      <w:docGrid w:linePitch="360" w:charSpace="61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751F" w:rsidRDefault="007C751F">
      <w:r>
        <w:separator/>
      </w:r>
    </w:p>
  </w:endnote>
  <w:endnote w:type="continuationSeparator" w:id="0">
    <w:p w:rsidR="007C751F" w:rsidRDefault="007C7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F01" w:rsidRDefault="00E511DE">
    <w:pPr>
      <w:pStyle w:val="Stopka"/>
      <w:autoSpaceDN w:val="0"/>
    </w:pPr>
    <w:r>
      <w:rPr>
        <w:noProof/>
        <w:sz w:val="20"/>
      </w:rPr>
      <mc:AlternateContent>
        <mc:Choice Requires="wps">
          <w:drawing>
            <wp:anchor distT="0" distB="0" distL="114300" distR="114300" simplePos="0" relativeHeight="251624961" behindDoc="0" locked="0" layoutInCell="1" allowOverlap="1">
              <wp:simplePos x="0" y="0"/>
              <wp:positionH relativeFrom="margin">
                <wp:posOffset>-685804</wp:posOffset>
              </wp:positionH>
              <wp:positionV relativeFrom="paragraph">
                <wp:posOffset>-823600</wp:posOffset>
              </wp:positionV>
              <wp:extent cx="7200900" cy="1143000"/>
              <wp:effectExtent l="0" t="0" r="0" b="4445"/>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01535" cy="1143635"/>
                      </a:xfrm>
                      <a:prstGeom prst="rect">
                        <a:avLst/>
                      </a:prstGeom>
                      <a:noFill/>
                      <a:ln cap="flat">
                        <a:noFill/>
                      </a:ln>
                    </wps:spPr>
                    <wps:txbx>
                      <w:txbxContent>
                        <w:p w:rsidR="00DC1F01" w:rsidRDefault="00DC1F01">
                          <w:pPr>
                            <w:spacing w:before="60"/>
                            <w:jc w:val="center"/>
                            <w:rPr>
                              <w:rFonts w:ascii="Arial" w:eastAsia="Arial" w:hAnsi="Arial"/>
                              <w:color w:val="808080"/>
                              <w:sz w:val="4"/>
                              <w:szCs w:val="4"/>
                            </w:rPr>
                          </w:pPr>
                        </w:p>
                        <w:p w:rsidR="00DC1F01" w:rsidRDefault="00E511DE">
                          <w:pPr>
                            <w:spacing w:before="60"/>
                            <w:jc w:val="center"/>
                            <w:rPr>
                              <w:rFonts w:ascii="Arial" w:eastAsia="Arial" w:hAnsi="Arial"/>
                              <w:color w:val="808080"/>
                              <w:sz w:val="14"/>
                              <w:szCs w:val="14"/>
                            </w:rPr>
                          </w:pPr>
                          <w:r>
                            <w:rPr>
                              <w:rFonts w:ascii="Arial Narrow" w:eastAsia="Arial Narrow" w:hAnsi="Arial Narrow"/>
                              <w:sz w:val="22"/>
                              <w:szCs w:val="22"/>
                            </w:rPr>
                            <w:t xml:space="preserve">  </w:t>
                          </w:r>
                        </w:p>
                        <w:p w:rsidR="00DC1F01" w:rsidRDefault="00DC1F01">
                          <w:pPr>
                            <w:jc w:val="center"/>
                            <w:rPr>
                              <w:rFonts w:ascii="Arial" w:eastAsia="Arial" w:hAnsi="Arial"/>
                              <w:color w:val="808080"/>
                              <w:sz w:val="14"/>
                              <w:szCs w:val="14"/>
                            </w:rPr>
                          </w:pPr>
                        </w:p>
                        <w:p w:rsidR="00DC1F01" w:rsidRDefault="00DC1F01"/>
                        <w:p w:rsidR="00DC1F01" w:rsidRDefault="00DC1F01"/>
                        <w:p w:rsidR="00DC1F01" w:rsidRDefault="00E511DE">
                          <w:pPr>
                            <w:ind w:firstLine="993"/>
                            <w:rPr>
                              <w:rFonts w:ascii="Arial" w:eastAsia="Arial" w:hAnsi="Arial"/>
                              <w:color w:val="727271"/>
                              <w:sz w:val="14"/>
                              <w:szCs w:val="14"/>
                            </w:rPr>
                          </w:pPr>
                          <w:r>
                            <w:rPr>
                              <w:rFonts w:ascii="Arial" w:eastAsia="Arial" w:hAnsi="Arial"/>
                              <w:color w:val="727271"/>
                              <w:sz w:val="14"/>
                              <w:szCs w:val="14"/>
                            </w:rPr>
                            <w:t xml:space="preserve">Spółka wpisana do rejestru przedsiębiorców prowadzonego przez Sąd Rejonowy dla m. st. Warszawy w Warszawie </w:t>
                          </w:r>
                        </w:p>
                        <w:p w:rsidR="00DC1F01" w:rsidRDefault="00E511DE">
                          <w:pPr>
                            <w:ind w:firstLine="993"/>
                            <w:rPr>
                              <w:rFonts w:ascii="Arial" w:eastAsia="Arial" w:hAnsi="Arial"/>
                              <w:color w:val="727271"/>
                              <w:sz w:val="14"/>
                              <w:szCs w:val="14"/>
                            </w:rPr>
                          </w:pPr>
                          <w:r>
                            <w:rPr>
                              <w:rFonts w:ascii="Arial" w:eastAsia="Arial" w:hAnsi="Arial"/>
                              <w:color w:val="727271"/>
                              <w:sz w:val="14"/>
                              <w:szCs w:val="14"/>
                            </w:rPr>
                            <w:t xml:space="preserve">XIII Wydział Gospodarczy Krajowego Rejestru Sądowego pod numerem KRS 0000037568, NIP 113-23-16-427, REGON 017319027. </w:t>
                          </w:r>
                        </w:p>
                        <w:p w:rsidR="00DC1F01" w:rsidRDefault="00E511DE">
                          <w:pPr>
                            <w:ind w:firstLine="993"/>
                            <w:rPr>
                              <w:rFonts w:ascii="Arial" w:eastAsia="Arial" w:hAnsi="Arial"/>
                              <w:color w:val="727271"/>
                              <w:sz w:val="14"/>
                              <w:szCs w:val="14"/>
                            </w:rPr>
                          </w:pPr>
                          <w:r>
                            <w:rPr>
                              <w:rFonts w:ascii="Arial" w:eastAsia="Arial" w:hAnsi="Arial"/>
                              <w:color w:val="727271"/>
                              <w:sz w:val="14"/>
                              <w:szCs w:val="14"/>
                            </w:rPr>
                            <w:t xml:space="preserve">Wysokość kapitału zakładowego w całości wpłaconego: 20.424.936.000,00 </w:t>
                          </w:r>
                          <w:proofErr w:type="gramStart"/>
                          <w:r>
                            <w:rPr>
                              <w:rFonts w:ascii="Arial" w:eastAsia="Arial" w:hAnsi="Arial"/>
                              <w:color w:val="727271"/>
                              <w:sz w:val="14"/>
                              <w:szCs w:val="14"/>
                            </w:rPr>
                            <w:t>zł</w:t>
                          </w:r>
                          <w:proofErr w:type="gramEnd"/>
                        </w:p>
                        <w:p w:rsidR="00DC1F01" w:rsidRDefault="00DC1F01">
                          <w:pPr>
                            <w:ind w:left="851"/>
                          </w:pPr>
                        </w:p>
                      </w:txbxContent>
                    </wps:txbx>
                    <wps:bodyPr rot="0" spcFirstLastPara="0" vertOverflow="overflow" horzOverflow="overflow" vert="horz" wrap="square" lIns="91440" tIns="45720" rIns="91440" bIns="45720" numCol="1" spcCol="0" rtlCol="0" fromWordArt="0" anchor="t" anchorCtr="0" forceAA="0" compatLnSpc="0">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4pt;margin-top:-64.85pt;width:567pt;height:90pt;z-index:251624961;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" filled="f" stroked="f">
              <v:path arrowok="t"/>
              <v:textbox>
                <w:txbxContent>
                  <w:p w:rsidR="00DC1F01" w:rsidRDefault="00DC1F01">
                    <w:pPr>
                      <w:spacing w:before="60"/>
                      <w:jc w:val="center"/>
                      <w:rPr>
                        <w:rFonts w:ascii="Arial" w:eastAsia="Arial" w:hAnsi="Arial"/>
                        <w:color w:val="808080"/>
                        <w:sz w:val="4"/>
                        <w:szCs w:val="4"/>
                      </w:rPr>
                    </w:pPr>
                  </w:p>
                  <w:p w:rsidR="00DC1F01" w:rsidRDefault="00E511DE">
                    <w:pPr>
                      <w:spacing w:before="60"/>
                      <w:jc w:val="center"/>
                      <w:rPr>
                        <w:rFonts w:ascii="Arial" w:eastAsia="Arial" w:hAnsi="Arial"/>
                        <w:color w:val="808080"/>
                        <w:sz w:val="14"/>
                        <w:szCs w:val="14"/>
                      </w:rPr>
                    </w:pPr>
                    <w:r>
                      <w:rPr>
                        <w:rFonts w:ascii="Arial Narrow" w:eastAsia="Arial Narrow" w:hAnsi="Arial Narrow"/>
                        <w:sz w:val="22"/>
                        <w:szCs w:val="22"/>
                      </w:rPr>
                      <w:t xml:space="preserve">  </w:t>
                    </w:r>
                  </w:p>
                  <w:p w:rsidR="00DC1F01" w:rsidRDefault="00DC1F01">
                    <w:pPr>
                      <w:jc w:val="center"/>
                      <w:rPr>
                        <w:rFonts w:ascii="Arial" w:eastAsia="Arial" w:hAnsi="Arial"/>
                        <w:color w:val="808080"/>
                        <w:sz w:val="14"/>
                        <w:szCs w:val="14"/>
                      </w:rPr>
                    </w:pPr>
                  </w:p>
                  <w:p w:rsidR="00DC1F01" w:rsidRDefault="00DC1F01"/>
                  <w:p w:rsidR="00DC1F01" w:rsidRDefault="00DC1F01"/>
                  <w:p w:rsidR="00DC1F01" w:rsidRDefault="00E511DE">
                    <w:pPr>
                      <w:ind w:firstLine="993"/>
                      <w:rPr>
                        <w:rFonts w:ascii="Arial" w:eastAsia="Arial" w:hAnsi="Arial"/>
                        <w:color w:val="727271"/>
                        <w:sz w:val="14"/>
                        <w:szCs w:val="14"/>
                      </w:rPr>
                    </w:pPr>
                    <w:r>
                      <w:rPr>
                        <w:rFonts w:ascii="Arial" w:eastAsia="Arial" w:hAnsi="Arial"/>
                        <w:color w:val="727271"/>
                        <w:sz w:val="14"/>
                        <w:szCs w:val="14"/>
                      </w:rPr>
                      <w:t xml:space="preserve">Spółka wpisana do rejestru przedsiębiorców prowadzonego przez Sąd Rejonowy dla m. st. Warszawy w Warszawie </w:t>
                    </w:r>
                  </w:p>
                  <w:p w:rsidR="00DC1F01" w:rsidRDefault="00E511DE">
                    <w:pPr>
                      <w:ind w:firstLine="993"/>
                      <w:rPr>
                        <w:rFonts w:ascii="Arial" w:eastAsia="Arial" w:hAnsi="Arial"/>
                        <w:color w:val="727271"/>
                        <w:sz w:val="14"/>
                        <w:szCs w:val="14"/>
                      </w:rPr>
                    </w:pPr>
                    <w:r>
                      <w:rPr>
                        <w:rFonts w:ascii="Arial" w:eastAsia="Arial" w:hAnsi="Arial"/>
                        <w:color w:val="727271"/>
                        <w:sz w:val="14"/>
                        <w:szCs w:val="14"/>
                      </w:rPr>
                      <w:t xml:space="preserve">XIII Wydział Gospodarczy Krajowego Rejestru Sądowego pod numerem KRS 0000037568, NIP 113-23-16-427, REGON 017319027. </w:t>
                    </w:r>
                  </w:p>
                  <w:p w:rsidR="00DC1F01" w:rsidRDefault="00E511DE">
                    <w:pPr>
                      <w:ind w:firstLine="993"/>
                      <w:rPr>
                        <w:rFonts w:ascii="Arial" w:eastAsia="Arial" w:hAnsi="Arial"/>
                        <w:color w:val="727271"/>
                        <w:sz w:val="14"/>
                        <w:szCs w:val="14"/>
                      </w:rPr>
                    </w:pPr>
                    <w:r>
                      <w:rPr>
                        <w:rFonts w:ascii="Arial" w:eastAsia="Arial" w:hAnsi="Arial"/>
                        <w:color w:val="727271"/>
                        <w:sz w:val="14"/>
                        <w:szCs w:val="14"/>
                      </w:rPr>
                      <w:t>Wysokość kapitału zakładowego w całości wpłaconego: 20.424.936.000,00 zł</w:t>
                    </w:r>
                  </w:p>
                  <w:p w:rsidR="00DC1F01" w:rsidRDefault="00DC1F01">
                    <w:pPr>
                      <w:ind w:left="851"/>
                    </w:pP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751F" w:rsidRDefault="007C751F">
      <w:r>
        <w:separator/>
      </w:r>
    </w:p>
  </w:footnote>
  <w:footnote w:type="continuationSeparator" w:id="0">
    <w:p w:rsidR="007C751F" w:rsidRDefault="007C75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F01" w:rsidRDefault="00E511DE">
    <w:pPr>
      <w:pStyle w:val="Nagwek"/>
      <w:autoSpaceDN w:val="0"/>
      <w:ind w:hanging="426"/>
    </w:pPr>
    <w:r>
      <w:rPr>
        <w:noProof/>
        <w:sz w:val="20"/>
      </w:rPr>
      <w:drawing>
        <wp:inline distT="0" distB="0" distL="0" distR="0">
          <wp:extent cx="5760720" cy="428625"/>
          <wp:effectExtent l="0" t="0" r="0" b="0"/>
          <wp:docPr id="3" name="Obraz 4" descr="CEF_trzy w rzedzie_N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ata/user/0/com.airwatch.contentlocker/files/PicselSecureEdit/awPolarisTmp/imag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761355" cy="429260"/>
                  </a:xfrm>
                  <a:prstGeom prst="rect">
                    <a:avLst/>
                  </a:prstGeom>
                  <a:noFill/>
                  <a:ln cap="flat">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000000"/>
    <w:multiLevelType w:val="multilevel"/>
    <w:tmpl w:val="385FADC9"/>
    <w:lvl w:ilvl="0">
      <w:start w:val="1"/>
      <w:numFmt w:val="decimal"/>
      <w:pStyle w:val="Nagwek23"/>
      <w:lvlText w:val="3.%1."/>
      <w:lvlJc w:val="left"/>
      <w:pPr>
        <w:ind w:left="907" w:hanging="547"/>
        <w:jc w:val="both"/>
      </w:pPr>
    </w:lvl>
    <w:lvl w:ilvl="1">
      <w:start w:val="1"/>
      <w:numFmt w:val="lowerLetter"/>
      <w:lvlText w:val="%2."/>
      <w:lvlJc w:val="left"/>
      <w:pPr>
        <w:ind w:left="1440" w:hanging="360"/>
        <w:jc w:val="both"/>
      </w:pPr>
    </w:lvl>
    <w:lvl w:ilvl="2">
      <w:start w:val="1"/>
      <w:numFmt w:val="lowerRoman"/>
      <w:lvlText w:val="%3."/>
      <w:lvlJc w:val="right"/>
      <w:pPr>
        <w:ind w:left="2160" w:hanging="180"/>
        <w:jc w:val="both"/>
      </w:pPr>
    </w:lvl>
    <w:lvl w:ilvl="3">
      <w:start w:val="1"/>
      <w:numFmt w:val="decimal"/>
      <w:lvlText w:val="%4."/>
      <w:lvlJc w:val="left"/>
      <w:pPr>
        <w:ind w:left="2880" w:hanging="360"/>
        <w:jc w:val="both"/>
      </w:pPr>
    </w:lvl>
    <w:lvl w:ilvl="4">
      <w:start w:val="1"/>
      <w:numFmt w:val="lowerLetter"/>
      <w:lvlText w:val="%5."/>
      <w:lvlJc w:val="left"/>
      <w:pPr>
        <w:ind w:left="3600" w:hanging="360"/>
        <w:jc w:val="both"/>
      </w:pPr>
    </w:lvl>
    <w:lvl w:ilvl="5">
      <w:start w:val="1"/>
      <w:numFmt w:val="lowerRoman"/>
      <w:lvlText w:val="%6."/>
      <w:lvlJc w:val="right"/>
      <w:pPr>
        <w:ind w:left="4320" w:hanging="180"/>
        <w:jc w:val="both"/>
      </w:pPr>
    </w:lvl>
    <w:lvl w:ilvl="6">
      <w:start w:val="1"/>
      <w:numFmt w:val="decimal"/>
      <w:lvlText w:val="%7."/>
      <w:lvlJc w:val="left"/>
      <w:pPr>
        <w:ind w:left="5040" w:hanging="360"/>
        <w:jc w:val="both"/>
      </w:pPr>
    </w:lvl>
    <w:lvl w:ilvl="7">
      <w:start w:val="1"/>
      <w:numFmt w:val="lowerLetter"/>
      <w:lvlText w:val="%8."/>
      <w:lvlJc w:val="left"/>
      <w:pPr>
        <w:ind w:left="5760" w:hanging="360"/>
        <w:jc w:val="both"/>
      </w:pPr>
    </w:lvl>
    <w:lvl w:ilvl="8">
      <w:start w:val="1"/>
      <w:numFmt w:val="lowerRoman"/>
      <w:lvlText w:val="%9."/>
      <w:lvlJc w:val="right"/>
      <w:pPr>
        <w:ind w:left="6480" w:hanging="180"/>
        <w:jc w:val="both"/>
      </w:pPr>
    </w:lvl>
  </w:abstractNum>
  <w:abstractNum w:abstractNumId="1" w15:restartNumberingAfterBreak="0">
    <w:nsid w:val="2F000001"/>
    <w:multiLevelType w:val="multilevel"/>
    <w:tmpl w:val="54CA8325"/>
    <w:lvl w:ilvl="0">
      <w:start w:val="1"/>
      <w:numFmt w:val="decimal"/>
      <w:lvlText w:val=""/>
      <w:lvlJc w:val="left"/>
    </w:lvl>
    <w:lvl w:ilvl="1">
      <w:start w:val="1"/>
      <w:numFmt w:val="decimal"/>
      <w:pStyle w:val="Nagwek22"/>
      <w:lvlText w:val="2.%2."/>
      <w:lvlJc w:val="left"/>
      <w:pPr>
        <w:ind w:left="907" w:hanging="547"/>
        <w:jc w:val="both"/>
      </w:pPr>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 w15:restartNumberingAfterBreak="0">
    <w:nsid w:val="2F000002"/>
    <w:multiLevelType w:val="hybridMultilevel"/>
    <w:tmpl w:val="359D0F01"/>
    <w:lvl w:ilvl="0" w:tplc="DABAB272">
      <w:start w:val="1"/>
      <w:numFmt w:val="upperRoman"/>
      <w:lvlText w:val="%1."/>
      <w:lvlJc w:val="right"/>
      <w:pPr>
        <w:ind w:left="1440" w:hanging="360"/>
        <w:jc w:val="both"/>
      </w:pPr>
    </w:lvl>
    <w:lvl w:ilvl="1" w:tplc="542236B2">
      <w:start w:val="1"/>
      <w:numFmt w:val="lowerLetter"/>
      <w:lvlText w:val="%2."/>
      <w:lvlJc w:val="left"/>
      <w:pPr>
        <w:ind w:left="2160" w:hanging="360"/>
        <w:jc w:val="both"/>
      </w:pPr>
    </w:lvl>
    <w:lvl w:ilvl="2" w:tplc="99F83C26">
      <w:start w:val="1"/>
      <w:numFmt w:val="lowerRoman"/>
      <w:lvlText w:val="%3."/>
      <w:lvlJc w:val="right"/>
      <w:pPr>
        <w:ind w:left="2880" w:hanging="180"/>
        <w:jc w:val="both"/>
      </w:pPr>
    </w:lvl>
    <w:lvl w:ilvl="3" w:tplc="1068E244">
      <w:start w:val="1"/>
      <w:numFmt w:val="decimal"/>
      <w:lvlText w:val="%4."/>
      <w:lvlJc w:val="left"/>
      <w:pPr>
        <w:ind w:left="3600" w:hanging="360"/>
        <w:jc w:val="both"/>
      </w:pPr>
    </w:lvl>
    <w:lvl w:ilvl="4" w:tplc="E04EC100">
      <w:start w:val="1"/>
      <w:numFmt w:val="lowerLetter"/>
      <w:lvlText w:val="%5."/>
      <w:lvlJc w:val="left"/>
      <w:pPr>
        <w:ind w:left="4320" w:hanging="360"/>
        <w:jc w:val="both"/>
      </w:pPr>
    </w:lvl>
    <w:lvl w:ilvl="5" w:tplc="A2D40760">
      <w:start w:val="1"/>
      <w:numFmt w:val="lowerRoman"/>
      <w:lvlText w:val="%6."/>
      <w:lvlJc w:val="right"/>
      <w:pPr>
        <w:ind w:left="5040" w:hanging="180"/>
        <w:jc w:val="both"/>
      </w:pPr>
    </w:lvl>
    <w:lvl w:ilvl="6" w:tplc="4680165E">
      <w:start w:val="1"/>
      <w:numFmt w:val="decimal"/>
      <w:lvlText w:val="%7."/>
      <w:lvlJc w:val="left"/>
      <w:pPr>
        <w:ind w:left="5760" w:hanging="360"/>
        <w:jc w:val="both"/>
      </w:pPr>
    </w:lvl>
    <w:lvl w:ilvl="7" w:tplc="6A188970">
      <w:start w:val="1"/>
      <w:numFmt w:val="lowerLetter"/>
      <w:lvlText w:val="%8."/>
      <w:lvlJc w:val="left"/>
      <w:pPr>
        <w:ind w:left="6480" w:hanging="360"/>
        <w:jc w:val="both"/>
      </w:pPr>
    </w:lvl>
    <w:lvl w:ilvl="8" w:tplc="31AAB4B6">
      <w:start w:val="1"/>
      <w:numFmt w:val="lowerRoman"/>
      <w:lvlText w:val="%9."/>
      <w:lvlJc w:val="right"/>
      <w:pPr>
        <w:ind w:left="7200" w:hanging="180"/>
        <w:jc w:val="both"/>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F01"/>
    <w:rsid w:val="00037E4B"/>
    <w:rsid w:val="000B3CFB"/>
    <w:rsid w:val="000E512E"/>
    <w:rsid w:val="00160FF6"/>
    <w:rsid w:val="00201AFA"/>
    <w:rsid w:val="002978F0"/>
    <w:rsid w:val="00310499"/>
    <w:rsid w:val="00334B82"/>
    <w:rsid w:val="0035543F"/>
    <w:rsid w:val="00360D7E"/>
    <w:rsid w:val="00391C80"/>
    <w:rsid w:val="003972B6"/>
    <w:rsid w:val="004B16FF"/>
    <w:rsid w:val="004B36C6"/>
    <w:rsid w:val="004C2650"/>
    <w:rsid w:val="004C5D12"/>
    <w:rsid w:val="004E6618"/>
    <w:rsid w:val="0052411C"/>
    <w:rsid w:val="00541EF0"/>
    <w:rsid w:val="005C3E1C"/>
    <w:rsid w:val="00653C6D"/>
    <w:rsid w:val="0070796B"/>
    <w:rsid w:val="007C751F"/>
    <w:rsid w:val="00824AFB"/>
    <w:rsid w:val="00863CC1"/>
    <w:rsid w:val="00866784"/>
    <w:rsid w:val="0088014D"/>
    <w:rsid w:val="00882470"/>
    <w:rsid w:val="00952410"/>
    <w:rsid w:val="0097580F"/>
    <w:rsid w:val="00AC1102"/>
    <w:rsid w:val="00AC20B2"/>
    <w:rsid w:val="00B24617"/>
    <w:rsid w:val="00B8112E"/>
    <w:rsid w:val="00CA1F70"/>
    <w:rsid w:val="00CB52DB"/>
    <w:rsid w:val="00CD55FB"/>
    <w:rsid w:val="00CE6B1A"/>
    <w:rsid w:val="00DC1F01"/>
    <w:rsid w:val="00DE10E1"/>
    <w:rsid w:val="00E07E0B"/>
    <w:rsid w:val="00E4163B"/>
    <w:rsid w:val="00E511DE"/>
    <w:rsid w:val="00EB484B"/>
    <w:rsid w:val="00F260F8"/>
    <w:rsid w:val="00F56B9E"/>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39918F8-E788-44D1-89A9-9199C8378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pPr>
      <w:autoSpaceDN w:val="0"/>
      <w:textAlignment w:val="baseline"/>
    </w:pPr>
    <w:rPr>
      <w:sz w:val="24"/>
      <w:szCs w:val="24"/>
    </w:rPr>
  </w:style>
  <w:style w:type="paragraph" w:styleId="Nagwek1">
    <w:name w:val="heading 1"/>
    <w:basedOn w:val="Normalny"/>
    <w:next w:val="Normalny"/>
    <w:uiPriority w:val="7"/>
    <w:pPr>
      <w:keepNext/>
      <w:autoSpaceDN/>
      <w:outlineLvl w:val="0"/>
    </w:pPr>
    <w:rPr>
      <w:rFonts w:ascii="Arial" w:eastAsia="Arial" w:hAnsi="Arial"/>
      <w:b/>
      <w:sz w:val="32"/>
      <w:szCs w:val="32"/>
    </w:rPr>
  </w:style>
  <w:style w:type="paragraph" w:styleId="Nagwek2">
    <w:name w:val="heading 2"/>
    <w:basedOn w:val="Normalny"/>
    <w:next w:val="Normalny"/>
    <w:uiPriority w:val="8"/>
    <w:pPr>
      <w:keepNext/>
      <w:tabs>
        <w:tab w:val="left" w:pos="907"/>
      </w:tabs>
      <w:autoSpaceDN/>
      <w:jc w:val="both"/>
      <w:outlineLvl w:val="1"/>
    </w:pPr>
    <w:rPr>
      <w:rFonts w:ascii="Arial" w:eastAsia="Arial" w:hAnsi="Arial"/>
      <w:b/>
      <w:i/>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WWOutlineListStyle">
    <w:name w:val="WW_OutlineListStyle"/>
    <w:basedOn w:val="Bezlisty"/>
  </w:style>
  <w:style w:type="paragraph" w:customStyle="1" w:styleId="Nagwek22">
    <w:name w:val="Nagłówek 22"/>
    <w:basedOn w:val="Nagwek2"/>
    <w:pPr>
      <w:numPr>
        <w:ilvl w:val="1"/>
        <w:numId w:val="1"/>
      </w:numPr>
    </w:pPr>
  </w:style>
  <w:style w:type="paragraph" w:customStyle="1" w:styleId="Nagwek23">
    <w:name w:val="Nagłówek 23"/>
    <w:basedOn w:val="Nagwek2"/>
    <w:pPr>
      <w:numPr>
        <w:numId w:val="2"/>
      </w:numPr>
    </w:pPr>
  </w:style>
  <w:style w:type="paragraph" w:styleId="Nagwek">
    <w:name w:val="header"/>
    <w:basedOn w:val="Normalny"/>
    <w:pPr>
      <w:tabs>
        <w:tab w:val="center" w:pos="4536"/>
        <w:tab w:val="right" w:pos="9072"/>
      </w:tabs>
      <w:autoSpaceDN/>
    </w:pPr>
  </w:style>
  <w:style w:type="paragraph" w:styleId="Stopka">
    <w:name w:val="footer"/>
    <w:basedOn w:val="Normalny"/>
    <w:pPr>
      <w:tabs>
        <w:tab w:val="center" w:pos="4536"/>
        <w:tab w:val="right" w:pos="9072"/>
      </w:tabs>
      <w:autoSpaceDN/>
    </w:pPr>
  </w:style>
  <w:style w:type="paragraph" w:styleId="Tekstdymka">
    <w:name w:val="Balloon Text"/>
    <w:basedOn w:val="Normalny"/>
    <w:rPr>
      <w:rFonts w:ascii="Tahoma" w:eastAsia="Tahoma" w:hAnsi="Tahoma"/>
      <w:sz w:val="16"/>
      <w:szCs w:val="16"/>
    </w:rPr>
  </w:style>
  <w:style w:type="character" w:styleId="Hipercze">
    <w:name w:val="Hyperlink"/>
    <w:rPr>
      <w:color w:val="0000FF"/>
      <w:w w:val="100"/>
      <w:sz w:val="20"/>
      <w:szCs w:val="20"/>
      <w:u w:val="single"/>
      <w:shd w:val="clear" w:color="auto" w:fill="auto"/>
    </w:rPr>
  </w:style>
  <w:style w:type="paragraph" w:customStyle="1" w:styleId="Standard">
    <w:name w:val="Standard"/>
    <w:pPr>
      <w:autoSpaceDN w:val="0"/>
    </w:pPr>
    <w:rPr>
      <w:rFonts w:ascii="Verdana" w:eastAsia="Mangal" w:hAnsi="Verdana"/>
      <w:sz w:val="24"/>
      <w:szCs w:val="24"/>
    </w:rPr>
  </w:style>
  <w:style w:type="numbering" w:customStyle="1" w:styleId="LFO5">
    <w:name w:val="LFO5"/>
    <w:basedOn w:val="Bezlisty"/>
  </w:style>
  <w:style w:type="paragraph" w:styleId="Tekstprzypisukocowego">
    <w:name w:val="endnote text"/>
    <w:basedOn w:val="Normalny"/>
    <w:link w:val="TekstprzypisukocowegoZnak"/>
    <w:semiHidden/>
    <w:unhideWhenUsed/>
    <w:rPr>
      <w:sz w:val="20"/>
      <w:szCs w:val="20"/>
    </w:rPr>
  </w:style>
  <w:style w:type="character" w:customStyle="1" w:styleId="TekstprzypisukocowegoZnak">
    <w:name w:val="Tekst przypisu końcowego Znak"/>
    <w:basedOn w:val="Domylnaczcionkaakapitu"/>
    <w:link w:val="Tekstprzypisukocowego"/>
    <w:semiHidden/>
  </w:style>
  <w:style w:type="character" w:styleId="Odwoanieprzypisukocowego">
    <w:name w:val="endnote reference"/>
    <w:basedOn w:val="Domylnaczcionkaakapitu"/>
    <w:semiHidden/>
    <w:unhideWhenUsed/>
    <w:rPr>
      <w:w w:val="100"/>
      <w:sz w:val="20"/>
      <w:szCs w:val="20"/>
      <w:shd w:val="clear" w:color="auto" w:fill="auto"/>
      <w:vertAlign w:val="superscript"/>
    </w:rPr>
  </w:style>
  <w:style w:type="paragraph" w:styleId="NormalnyWeb">
    <w:name w:val="Normal (Web)"/>
    <w:basedOn w:val="Normalny"/>
    <w:semiHidden/>
    <w:unhideWhenUsed/>
    <w:pPr>
      <w:autoSpaceDN/>
    </w:pPr>
    <w:rPr>
      <w:rFonts w:ascii="Arial" w:eastAsia="Calibri" w:hAnsi="Arial"/>
      <w:sz w:val="20"/>
      <w:szCs w:val="20"/>
    </w:rPr>
  </w:style>
  <w:style w:type="character" w:styleId="Odwoaniedokomentarza">
    <w:name w:val="annotation reference"/>
    <w:basedOn w:val="Domylnaczcionkaakapitu"/>
    <w:semiHidden/>
    <w:unhideWhenUsed/>
    <w:rPr>
      <w:w w:val="100"/>
      <w:sz w:val="16"/>
      <w:szCs w:val="16"/>
      <w:shd w:val="clear" w:color="auto" w:fill="auto"/>
    </w:rPr>
  </w:style>
  <w:style w:type="paragraph" w:styleId="Tekstkomentarza">
    <w:name w:val="annotation text"/>
    <w:basedOn w:val="Normalny"/>
    <w:link w:val="TekstkomentarzaZnak"/>
    <w:semiHidden/>
    <w:unhideWhenUsed/>
    <w:rPr>
      <w:sz w:val="20"/>
      <w:szCs w:val="20"/>
    </w:rPr>
  </w:style>
  <w:style w:type="character" w:customStyle="1" w:styleId="TekstkomentarzaZnak">
    <w:name w:val="Tekst komentarza Znak"/>
    <w:basedOn w:val="Domylnaczcionkaakapitu"/>
    <w:link w:val="Tekstkomentarza"/>
    <w:semiHidden/>
  </w:style>
  <w:style w:type="paragraph" w:styleId="Tematkomentarza">
    <w:name w:val="annotation subject"/>
    <w:basedOn w:val="Tekstkomentarza"/>
    <w:next w:val="Tekstkomentarza"/>
    <w:link w:val="TematkomentarzaZnak"/>
    <w:semiHidden/>
    <w:unhideWhenUsed/>
    <w:rPr>
      <w:b/>
    </w:rPr>
  </w:style>
  <w:style w:type="character" w:customStyle="1" w:styleId="TematkomentarzaZnak">
    <w:name w:val="Temat komentarza Znak"/>
    <w:basedOn w:val="TekstkomentarzaZnak"/>
    <w:link w:val="Tematkomentarza"/>
    <w:semiHidden/>
    <w:rPr>
      <w:b/>
      <w:w w:val="100"/>
      <w:sz w:val="20"/>
      <w:szCs w:val="20"/>
      <w:shd w:val="clear" w:color="auto" w:fill="auto"/>
    </w:rPr>
  </w:style>
  <w:style w:type="paragraph" w:styleId="Tekstprzypisudolnego">
    <w:name w:val="footnote text"/>
    <w:basedOn w:val="Normalny"/>
    <w:link w:val="TekstprzypisudolnegoZnak"/>
    <w:semiHidden/>
    <w:unhideWhenUsed/>
    <w:rPr>
      <w:sz w:val="20"/>
      <w:szCs w:val="20"/>
    </w:rPr>
  </w:style>
  <w:style w:type="character" w:customStyle="1" w:styleId="TekstprzypisudolnegoZnak">
    <w:name w:val="Tekst przypisu dolnego Znak"/>
    <w:basedOn w:val="Domylnaczcionkaakapitu"/>
    <w:link w:val="Tekstprzypisudolnego"/>
    <w:semiHidden/>
  </w:style>
  <w:style w:type="character" w:styleId="Odwoanieprzypisudolnego">
    <w:name w:val="footnote reference"/>
    <w:basedOn w:val="Domylnaczcionkaakapitu"/>
    <w:semiHidden/>
    <w:unhideWhenUsed/>
    <w:rPr>
      <w:w w:val="100"/>
      <w:sz w:val="20"/>
      <w:szCs w:val="20"/>
      <w:shd w:val="clear" w:color="auto" w:fill="auto"/>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plk-sa.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392</Words>
  <Characters>2352</Characters>
  <Application>Microsoft Office Word</Application>
  <DocSecurity>0</DocSecurity>
  <Lines>19</Lines>
  <Paragraphs>5</Paragraphs>
  <MMClips>0</MMClips>
  <ScaleCrop>false</ScaleCrop>
  <HeadingPairs>
    <vt:vector size="4" baseType="variant">
      <vt:variant>
        <vt:lpstr>Tytuł</vt:lpstr>
      </vt:variant>
      <vt:variant>
        <vt:i4>1</vt:i4>
      </vt:variant>
      <vt:variant>
        <vt:lpstr>제목</vt:lpstr>
      </vt:variant>
      <vt:variant>
        <vt:i4>1</vt:i4>
      </vt:variant>
    </vt:vector>
  </HeadingPairs>
  <TitlesOfParts>
    <vt:vector size="2" baseType="lpstr">
      <vt:lpstr/>
      <vt:lpstr>Title text</vt:lpstr>
    </vt:vector>
  </TitlesOfParts>
  <Company>PKP PLK S.A.</Company>
  <LinksUpToDate>false</LinksUpToDate>
  <CharactersWithSpaces>2739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Siemieniec Mirosław</dc:creator>
  <cp:lastModifiedBy>Dudzińska Maria</cp:lastModifiedBy>
  <cp:revision>2</cp:revision>
  <dcterms:created xsi:type="dcterms:W3CDTF">2019-06-28T09:26:00Z</dcterms:created>
  <dcterms:modified xsi:type="dcterms:W3CDTF">2019-06-28T09:26:00Z</dcterms:modified>
</cp:coreProperties>
</file>